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outlineLvl w:val="0"/>
        <w:rPr>
          <w:rFonts w:ascii="黑体" w:hAnsi="黑体" w:eastAsia="黑体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/>
          <w:sz w:val="44"/>
          <w:szCs w:val="44"/>
        </w:rPr>
        <w:t>浙江</w:t>
      </w: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大学“中天杯”</w:t>
      </w:r>
      <w:r>
        <w:rPr>
          <w:rFonts w:hint="eastAsia" w:ascii="方正小标宋简体" w:hAnsi="黑体" w:eastAsia="方正小标宋简体"/>
          <w:b/>
          <w:sz w:val="44"/>
          <w:szCs w:val="44"/>
        </w:rPr>
        <w:t>第二十</w:t>
      </w: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三</w:t>
      </w:r>
      <w:r>
        <w:rPr>
          <w:rFonts w:hint="eastAsia" w:ascii="方正小标宋简体" w:hAnsi="黑体" w:eastAsia="方正小标宋简体"/>
          <w:b/>
          <w:sz w:val="44"/>
          <w:szCs w:val="44"/>
        </w:rPr>
        <w:t>届大学生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结构设计竞赛题目</w:t>
      </w:r>
    </w:p>
    <w:p>
      <w:pPr>
        <w:tabs>
          <w:tab w:val="left" w:pos="5239"/>
        </w:tabs>
        <w:adjustRightInd w:val="0"/>
        <w:snapToGrid w:val="0"/>
        <w:spacing w:line="560" w:lineRule="exact"/>
        <w:jc w:val="center"/>
        <w:outlineLvl w:val="0"/>
        <w:rPr>
          <w:rFonts w:hint="default" w:ascii="方正小标宋简体" w:hAnsi="黑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b/>
          <w:color w:val="000000"/>
          <w:sz w:val="44"/>
          <w:szCs w:val="44"/>
        </w:rPr>
        <w:t>自行式塔吊设计与模型制作》</w:t>
      </w:r>
      <w:r>
        <w:rPr>
          <w:rFonts w:hint="eastAsia" w:ascii="方正小标宋简体" w:hAnsi="黑体" w:eastAsia="方正小标宋简体"/>
          <w:b/>
          <w:color w:val="000000"/>
          <w:sz w:val="44"/>
          <w:szCs w:val="44"/>
          <w:lang w:val="en-US" w:eastAsia="zh-CN"/>
        </w:rPr>
        <w:t>竞赛细则</w:t>
      </w:r>
    </w:p>
    <w:bookmarkEnd w:id="0"/>
    <w:p>
      <w:pPr>
        <w:adjustRightIn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模型要求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竞赛模型为塔吊模型，图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为模型示意图，结构形式不限，具体要求如下：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模型总高度不限，但必须提供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点作为加载点，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点为配重点，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两点处构件顶面距底板上表面高度为</w:t>
      </w:r>
      <w:r>
        <w:rPr>
          <w:rFonts w:ascii="仿宋" w:hAnsi="仿宋" w:eastAsia="仿宋"/>
          <w:kern w:val="0"/>
          <w:sz w:val="32"/>
          <w:szCs w:val="32"/>
        </w:rPr>
        <w:t>1000mm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10mm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两点水平距离为</w:t>
      </w:r>
      <w:r>
        <w:rPr>
          <w:rFonts w:ascii="仿宋" w:hAnsi="仿宋" w:eastAsia="仿宋"/>
          <w:kern w:val="0"/>
          <w:sz w:val="32"/>
          <w:szCs w:val="32"/>
        </w:rPr>
        <w:t>1000mm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10mm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点距离底板中心点水平距离</w:t>
      </w:r>
      <w:r>
        <w:rPr>
          <w:rFonts w:ascii="仿宋" w:hAnsi="仿宋" w:eastAsia="仿宋"/>
          <w:kern w:val="0"/>
          <w:sz w:val="32"/>
          <w:szCs w:val="32"/>
        </w:rPr>
        <w:t>700mm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点距离底板中心点水平距离</w:t>
      </w:r>
      <w:r>
        <w:rPr>
          <w:rFonts w:ascii="仿宋" w:hAnsi="仿宋" w:eastAsia="仿宋"/>
          <w:kern w:val="0"/>
          <w:sz w:val="32"/>
          <w:szCs w:val="32"/>
        </w:rPr>
        <w:t>300mm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模型的塔身为装配式结构，要求在比赛现场进行限时装配（现场提供5g胶水，计重5g，不使用胶水装配则不计重），装配位置在塔身距离底部高度</w:t>
      </w:r>
      <w:r>
        <w:rPr>
          <w:rFonts w:ascii="仿宋" w:hAnsi="仿宋" w:eastAsia="仿宋"/>
          <w:kern w:val="0"/>
          <w:sz w:val="32"/>
          <w:szCs w:val="32"/>
        </w:rPr>
        <w:t>800~900mm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之间。模型底面尺寸限制在</w:t>
      </w:r>
      <w:r>
        <w:rPr>
          <w:rFonts w:ascii="仿宋" w:hAnsi="仿宋" w:eastAsia="仿宋"/>
          <w:kern w:val="0"/>
          <w:sz w:val="32"/>
          <w:szCs w:val="32"/>
        </w:rPr>
        <w:t>200mm</w:t>
      </w:r>
      <w:r>
        <w:rPr>
          <w:rFonts w:hint="eastAsia" w:ascii="仿宋" w:hAnsi="仿宋" w:eastAsia="仿宋"/>
          <w:kern w:val="0"/>
          <w:sz w:val="32"/>
          <w:szCs w:val="32"/>
        </w:rPr>
        <w:t>×</w:t>
      </w:r>
      <w:r>
        <w:rPr>
          <w:rFonts w:ascii="仿宋" w:hAnsi="仿宋" w:eastAsia="仿宋"/>
          <w:kern w:val="0"/>
          <w:sz w:val="32"/>
          <w:szCs w:val="32"/>
        </w:rPr>
        <w:t>200mm</w:t>
      </w:r>
      <w:r>
        <w:rPr>
          <w:rFonts w:hint="eastAsia" w:ascii="仿宋" w:hAnsi="仿宋" w:eastAsia="仿宋"/>
          <w:kern w:val="0"/>
          <w:sz w:val="32"/>
          <w:szCs w:val="32"/>
        </w:rPr>
        <w:t>的正方形区域内，底板尺寸及模型区域见图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所示。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353685" cy="47625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685155" cy="343471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图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模型尺寸范围</w:t>
      </w:r>
      <w:r>
        <w:rPr>
          <w:rFonts w:hint="eastAsia" w:ascii="仿宋" w:hAnsi="仿宋" w:eastAsia="仿宋"/>
          <w:color w:val="000000"/>
          <w:sz w:val="32"/>
          <w:szCs w:val="32"/>
        </w:rPr>
        <w:t>示意图</w:t>
      </w:r>
      <w:r>
        <w:rPr>
          <w:rFonts w:ascii="仿宋" w:hAnsi="仿宋" w:eastAsia="仿宋"/>
          <w:color w:val="000000"/>
          <w:sz w:val="32"/>
          <w:szCs w:val="32"/>
        </w:rPr>
        <w:t>（单位：mm）</w:t>
      </w:r>
    </w:p>
    <w:p>
      <w:pPr>
        <w:adjustRightInd w:val="0"/>
        <w:snapToGrid w:val="0"/>
        <w:spacing w:beforeLines="50" w:afterLines="50" w:line="300" w:lineRule="auto"/>
        <w:ind w:firstLine="420" w:firstLineChars="200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4074795" cy="2609850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76"/>
                    <a:stretch>
                      <a:fillRect/>
                    </a:stretch>
                  </pic:blipFill>
                  <pic:spPr>
                    <a:xfrm>
                      <a:off x="0" y="0"/>
                      <a:ext cx="4075200" cy="26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</w:t>
      </w:r>
      <w:r>
        <w:rPr>
          <w:rFonts w:ascii="仿宋" w:hAnsi="仿宋" w:eastAsia="仿宋"/>
          <w:color w:val="000000"/>
          <w:sz w:val="32"/>
          <w:szCs w:val="32"/>
        </w:rPr>
        <w:t xml:space="preserve">2 </w:t>
      </w:r>
      <w:r>
        <w:rPr>
          <w:rFonts w:hint="eastAsia" w:ascii="仿宋" w:hAnsi="仿宋" w:eastAsia="仿宋"/>
          <w:color w:val="000000"/>
          <w:sz w:val="32"/>
          <w:szCs w:val="32"/>
        </w:rPr>
        <w:t>底板尺寸示意图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.</w:t>
      </w:r>
      <w:r>
        <w:rPr>
          <w:rFonts w:ascii="仿宋" w:hAnsi="仿宋" w:eastAsia="仿宋"/>
          <w:b/>
          <w:bCs/>
          <w:kern w:val="0"/>
          <w:sz w:val="32"/>
          <w:szCs w:val="32"/>
          <w:lang w:val="zh-CN"/>
        </w:rPr>
        <w:t>加载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zh-CN"/>
        </w:rPr>
        <w:t>装置</w:t>
      </w:r>
    </w:p>
    <w:p>
      <w:pPr>
        <w:widowControl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5848350" cy="50330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259" cy="509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）正立面</w:t>
      </w:r>
    </w:p>
    <w:p>
      <w:pPr>
        <w:widowControl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5682615" cy="443103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4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）侧立面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加载装置示意图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599690" cy="311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4794" cy="31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加载装置示意图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.模型制作要求以及材料和工具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模型结构的所有构件、连接部件均采用给定材料手工制作完成。材料、</w:t>
      </w:r>
      <w:r>
        <w:rPr>
          <w:rFonts w:hint="eastAsia" w:ascii="仿宋" w:hAnsi="仿宋" w:eastAsia="仿宋"/>
          <w:kern w:val="0"/>
          <w:sz w:val="32"/>
          <w:szCs w:val="32"/>
        </w:rPr>
        <w:t>竹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底板由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统一提供。</w:t>
      </w:r>
      <w:r>
        <w:rPr>
          <w:rFonts w:hint="eastAsia" w:ascii="仿宋" w:hAnsi="仿宋" w:eastAsia="仿宋"/>
          <w:kern w:val="0"/>
          <w:sz w:val="32"/>
          <w:szCs w:val="32"/>
        </w:rPr>
        <w:t>统一提供的竹底板、材料具体如下：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（1）竹底板1块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加载时提供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尺寸为</w:t>
      </w:r>
      <w:r>
        <w:rPr>
          <w:rFonts w:ascii="仿宋" w:hAnsi="仿宋" w:eastAsia="仿宋"/>
          <w:sz w:val="32"/>
          <w:szCs w:val="32"/>
        </w:rPr>
        <w:t>400mm×400mm×15mm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t>其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显著位置标注自重，各参赛队不得对底板进行任何使重量改变的操作，如挖空、磨皮等，否则视为违规。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）集成竹杆材</w:t>
      </w:r>
      <w:r>
        <w:rPr>
          <w:rFonts w:hint="eastAsia" w:ascii="仿宋" w:hAnsi="仿宋" w:eastAsia="仿宋"/>
          <w:kern w:val="0"/>
          <w:sz w:val="32"/>
          <w:szCs w:val="32"/>
        </w:rPr>
        <w:t>若干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，规格、</w:t>
      </w:r>
      <w:r>
        <w:rPr>
          <w:rFonts w:hint="eastAsia" w:ascii="仿宋" w:hAnsi="仿宋" w:eastAsia="仿宋"/>
          <w:kern w:val="0"/>
          <w:sz w:val="32"/>
          <w:szCs w:val="32"/>
        </w:rPr>
        <w:t>数量和力学指标见表1和表2。</w:t>
      </w:r>
      <w:r>
        <w:rPr>
          <w:rFonts w:hint="eastAsia" w:ascii="仿宋" w:hAnsi="仿宋" w:eastAsia="仿宋"/>
          <w:color w:val="000000"/>
          <w:sz w:val="32"/>
          <w:szCs w:val="32"/>
        </w:rPr>
        <w:t>竹片中的无纺布不得抽取单独使用，否则按违规处理。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）502胶水（</w:t>
      </w:r>
      <w:r>
        <w:rPr>
          <w:rFonts w:hint="eastAsia" w:ascii="仿宋" w:hAnsi="仿宋" w:eastAsia="仿宋"/>
          <w:kern w:val="0"/>
          <w:sz w:val="32"/>
          <w:szCs w:val="32"/>
        </w:rPr>
        <w:t>30g装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瓶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</w:rPr>
        <w:t>用于模型制作期间结构构件之间的连接以及模型和底板的连接，限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棉蜡线（1卷68m，54.8g），单股直径约1.1mm，单股抗拉承载力约68N，弹性模量约18.5MPa，棉蜡线仅可用作结构杆件，不可用于节点绑扎和加固等用途。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竹材规格及用量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857"/>
        <w:gridCol w:w="3544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竹材规格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竹材名称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1250mm×430mm×0.20mm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1250mm×430mm×0.35mm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1250mm×430mm×0.5mm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竹条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900mm×6mm×1mm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900mm×3mm×3mm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900mm×2mm×2mm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注：竹条实际长度为</w:t>
      </w:r>
      <w:r>
        <w:rPr>
          <w:rFonts w:ascii="仿宋" w:hAnsi="仿宋" w:eastAsia="仿宋"/>
          <w:sz w:val="32"/>
          <w:szCs w:val="32"/>
        </w:rPr>
        <w:t>930mm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2 </w:t>
      </w:r>
      <w:r>
        <w:rPr>
          <w:rFonts w:hint="eastAsia" w:ascii="仿宋" w:hAnsi="仿宋" w:eastAsia="仿宋"/>
          <w:sz w:val="32"/>
          <w:szCs w:val="32"/>
        </w:rPr>
        <w:t>竹材参考力学指标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294"/>
        <w:gridCol w:w="2294"/>
        <w:gridCol w:w="229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密度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顺纹抗拉强度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抗压强度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弹性模量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0.8g/cm</w:t>
            </w:r>
            <w:r>
              <w:rPr>
                <w:rFonts w:ascii="仿宋" w:hAnsi="仿宋" w:eastAsia="仿宋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60MPa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30MPa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6GPa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制作工具自备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.加载测试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（1）模型核验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核验模型若出现以下情况之一者，判定该模型为不合格，不予加载，参赛模型加载项成绩为零：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</w:rPr>
        <w:t>模型尺寸不符合要求，超出误差限值，包括柱高、加载点高度等；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②</w:t>
      </w:r>
      <w:r>
        <w:rPr>
          <w:rFonts w:hint="eastAsia" w:ascii="仿宋" w:hAnsi="仿宋" w:eastAsia="仿宋" w:cs="宋体"/>
          <w:sz w:val="32"/>
          <w:szCs w:val="32"/>
        </w:rPr>
        <w:t>模型规避区出现杆件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③</w:t>
      </w:r>
      <w:r>
        <w:rPr>
          <w:rFonts w:hint="eastAsia" w:ascii="仿宋" w:hAnsi="仿宋" w:eastAsia="仿宋" w:cs="宋体"/>
          <w:sz w:val="32"/>
          <w:szCs w:val="32"/>
        </w:rPr>
        <w:t>装配位置不符合要求或未进行现场装配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</w:rPr>
        <w:t>绑扎绳套不符合要求</w:t>
      </w:r>
      <w:r>
        <w:rPr>
          <w:rFonts w:hint="eastAsia" w:ascii="仿宋" w:hAnsi="仿宋" w:eastAsia="仿宋"/>
          <w:sz w:val="32"/>
          <w:szCs w:val="32"/>
          <w:lang w:val="zh-CN"/>
        </w:rPr>
        <w:t>。（</w:t>
      </w:r>
      <w:r>
        <w:rPr>
          <w:rFonts w:hint="eastAsia" w:ascii="仿宋" w:hAnsi="仿宋" w:eastAsia="仿宋"/>
          <w:sz w:val="32"/>
          <w:szCs w:val="32"/>
        </w:rPr>
        <w:t>模型制作结束前，要求各队用棉蜡线制作</w:t>
      </w:r>
      <w:r>
        <w:rPr>
          <w:rFonts w:ascii="仿宋" w:hAnsi="仿宋" w:eastAsia="仿宋"/>
          <w:sz w:val="32"/>
          <w:szCs w:val="32"/>
        </w:rPr>
        <w:t>300mm</w:t>
      </w:r>
      <w:r>
        <w:rPr>
          <w:rFonts w:ascii="仿宋" w:hAnsi="仿宋" w:eastAsia="仿宋"/>
          <w:color w:val="000000"/>
          <w:sz w:val="32"/>
          <w:szCs w:val="32"/>
        </w:rPr>
        <w:t>±5mm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100mm</w:t>
      </w:r>
      <w:r>
        <w:rPr>
          <w:rFonts w:ascii="仿宋" w:hAnsi="仿宋" w:eastAsia="仿宋"/>
          <w:color w:val="000000"/>
          <w:sz w:val="32"/>
          <w:szCs w:val="32"/>
        </w:rPr>
        <w:t>±5mm</w:t>
      </w:r>
      <w:r>
        <w:rPr>
          <w:rFonts w:hint="eastAsia" w:ascii="仿宋" w:hAnsi="仿宋" w:eastAsia="仿宋"/>
          <w:sz w:val="32"/>
          <w:szCs w:val="32"/>
        </w:rPr>
        <w:t>绳套，</w:t>
      </w:r>
      <w:r>
        <w:rPr>
          <w:rFonts w:ascii="仿宋" w:hAnsi="仿宋" w:eastAsia="仿宋"/>
          <w:sz w:val="32"/>
          <w:szCs w:val="32"/>
        </w:rPr>
        <w:t>300mm</w:t>
      </w:r>
      <w:r>
        <w:rPr>
          <w:rFonts w:hint="eastAsia" w:ascii="仿宋" w:hAnsi="仿宋" w:eastAsia="仿宋"/>
          <w:sz w:val="32"/>
          <w:szCs w:val="32"/>
        </w:rPr>
        <w:t>棉蜡线绳套固定在模型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加载点上，</w:t>
      </w:r>
      <w:r>
        <w:rPr>
          <w:rFonts w:ascii="仿宋" w:hAnsi="仿宋" w:eastAsia="仿宋"/>
          <w:sz w:val="32"/>
          <w:szCs w:val="32"/>
        </w:rPr>
        <w:t>100mm</w:t>
      </w:r>
      <w:r>
        <w:rPr>
          <w:rFonts w:hint="eastAsia" w:ascii="仿宋" w:hAnsi="仿宋" w:eastAsia="仿宋"/>
          <w:sz w:val="32"/>
          <w:szCs w:val="32"/>
        </w:rPr>
        <w:t>绳套固定在模型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加载点上。）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（2）模型装配与称重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装配时间控制在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分钟以内，模型重量为模型自重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棉蜡线自重+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g（如采用胶水装配）。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（3）加载方法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加载前，先由参赛队员介绍作品构思，时间控制在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分钟内，然后回答专家提问。</w:t>
      </w:r>
      <w:r>
        <w:rPr>
          <w:rFonts w:hint="eastAsia" w:ascii="仿宋" w:hAnsi="仿宋" w:eastAsia="仿宋"/>
          <w:color w:val="000000"/>
          <w:sz w:val="32"/>
          <w:szCs w:val="32"/>
        </w:rPr>
        <w:t>同时进行模型安装，安装时，模型</w:t>
      </w:r>
      <w:r>
        <w:rPr>
          <w:rFonts w:ascii="仿宋" w:hAnsi="仿宋" w:eastAsia="仿宋"/>
          <w:color w:val="000000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color w:val="000000"/>
          <w:sz w:val="32"/>
          <w:szCs w:val="32"/>
        </w:rPr>
        <w:t>朝向观众席侧，</w:t>
      </w:r>
      <w:r>
        <w:rPr>
          <w:rFonts w:ascii="仿宋" w:hAnsi="仿宋" w:eastAsia="仿宋"/>
          <w:color w:val="000000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color w:val="000000"/>
          <w:sz w:val="32"/>
          <w:szCs w:val="32"/>
        </w:rPr>
        <w:t>背离观众席侧，</w:t>
      </w:r>
      <w:r>
        <w:rPr>
          <w:rFonts w:hint="eastAsia" w:ascii="仿宋" w:hAnsi="仿宋" w:eastAsia="仿宋"/>
          <w:sz w:val="32"/>
          <w:szCs w:val="32"/>
        </w:rPr>
        <w:t>模型安装在加载装置上以后，参赛队员不得触碰除绳套以外的模型部分。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加载过程吊车可以多次装卸不同荷载重量（在提交模型之前需填表确认依次加载重量）。若某一级加载时，结构模型失效，则本级加载无效。在规定时间内，若结构模型未失效，则加载重量取有效加载重量总和。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加载时，参赛队员</w:t>
      </w:r>
      <w:r>
        <w:rPr>
          <w:rFonts w:hint="eastAsia" w:ascii="仿宋" w:hAnsi="仿宋" w:eastAsia="仿宋"/>
          <w:sz w:val="32"/>
          <w:szCs w:val="32"/>
          <w:lang w:val="zh-CN"/>
        </w:rPr>
        <w:t>先</w:t>
      </w:r>
      <w:r>
        <w:rPr>
          <w:rFonts w:ascii="仿宋" w:hAnsi="仿宋" w:eastAsia="仿宋"/>
          <w:sz w:val="32"/>
          <w:szCs w:val="32"/>
        </w:rPr>
        <w:t>举手示意开始，由</w:t>
      </w:r>
      <w:r>
        <w:rPr>
          <w:rFonts w:hint="eastAsia" w:ascii="仿宋" w:hAnsi="仿宋" w:eastAsia="仿宋"/>
          <w:sz w:val="32"/>
          <w:szCs w:val="32"/>
        </w:rPr>
        <w:t>2位参赛队员分别在</w:t>
      </w:r>
      <w:r>
        <w:rPr>
          <w:rFonts w:ascii="仿宋" w:hAnsi="仿宋" w:eastAsia="仿宋"/>
          <w:sz w:val="32"/>
          <w:szCs w:val="32"/>
        </w:rPr>
        <w:t>位置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zh-CN"/>
        </w:rPr>
        <w:t>给</w:t>
      </w:r>
      <w:r>
        <w:rPr>
          <w:rFonts w:ascii="仿宋" w:hAnsi="仿宋" w:eastAsia="仿宋"/>
          <w:sz w:val="32"/>
          <w:szCs w:val="32"/>
          <w:lang w:val="zh-CN"/>
        </w:rPr>
        <w:t>A</w:t>
      </w:r>
      <w:r>
        <w:rPr>
          <w:rFonts w:hint="eastAsia" w:ascii="仿宋" w:hAnsi="仿宋" w:eastAsia="仿宋"/>
          <w:sz w:val="32"/>
          <w:szCs w:val="32"/>
          <w:lang w:val="zh-CN"/>
        </w:rPr>
        <w:t>点</w:t>
      </w:r>
      <w:r>
        <w:rPr>
          <w:rFonts w:ascii="仿宋" w:hAnsi="仿宋" w:eastAsia="仿宋"/>
          <w:sz w:val="32"/>
          <w:szCs w:val="32"/>
          <w:lang w:val="zh-CN"/>
        </w:rPr>
        <w:t>（</w:t>
      </w:r>
      <w:r>
        <w:rPr>
          <w:rFonts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悬挂砝码（</w:t>
      </w:r>
      <w:r>
        <w:rPr>
          <w:rFonts w:ascii="仿宋" w:hAnsi="仿宋" w:eastAsia="仿宋"/>
          <w:b/>
          <w:sz w:val="32"/>
          <w:szCs w:val="32"/>
        </w:rPr>
        <w:t>可选</w:t>
      </w:r>
      <w:r>
        <w:rPr>
          <w:rFonts w:ascii="仿宋" w:hAnsi="仿宋" w:eastAsia="仿宋"/>
          <w:b/>
          <w:sz w:val="32"/>
          <w:szCs w:val="32"/>
          <w:lang w:val="zh-CN"/>
        </w:rPr>
        <w:t>4kg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  <w:lang w:val="zh-CN"/>
        </w:rPr>
        <w:t>6kg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  <w:lang w:val="zh-CN"/>
        </w:rPr>
        <w:t>8kg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zh-CN"/>
        </w:rPr>
        <w:t>和</w:t>
      </w:r>
      <w:r>
        <w:rPr>
          <w:rFonts w:ascii="仿宋" w:hAnsi="仿宋" w:eastAsia="仿宋"/>
          <w:sz w:val="32"/>
          <w:szCs w:val="32"/>
          <w:lang w:val="zh-CN"/>
        </w:rPr>
        <w:t>B</w:t>
      </w:r>
      <w:r>
        <w:rPr>
          <w:rFonts w:ascii="仿宋" w:hAnsi="仿宋" w:eastAsia="仿宋"/>
          <w:sz w:val="32"/>
          <w:szCs w:val="32"/>
        </w:rPr>
        <w:t>点悬挂</w:t>
      </w:r>
      <w:r>
        <w:rPr>
          <w:rFonts w:ascii="仿宋" w:hAnsi="仿宋" w:eastAsia="仿宋"/>
          <w:sz w:val="32"/>
          <w:szCs w:val="32"/>
          <w:lang w:val="zh-CN"/>
        </w:rPr>
        <w:t>4kg</w:t>
      </w:r>
      <w:r>
        <w:rPr>
          <w:rFonts w:ascii="仿宋" w:hAnsi="仿宋" w:eastAsia="仿宋"/>
          <w:sz w:val="32"/>
          <w:szCs w:val="32"/>
        </w:rPr>
        <w:t>砝码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</w:rPr>
        <w:t>固定</w:t>
      </w:r>
      <w:r>
        <w:rPr>
          <w:rFonts w:ascii="仿宋" w:hAnsi="仿宋" w:eastAsia="仿宋"/>
          <w:b/>
          <w:sz w:val="32"/>
          <w:szCs w:val="32"/>
        </w:rPr>
        <w:t>不变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zh-CN"/>
        </w:rPr>
        <w:t>，另外</w:t>
      </w:r>
      <w:r>
        <w:rPr>
          <w:rFonts w:hint="eastAsia" w:ascii="仿宋" w:hAnsi="仿宋" w:eastAsia="仿宋"/>
          <w:sz w:val="32"/>
          <w:szCs w:val="32"/>
        </w:rPr>
        <w:t>参赛队员</w:t>
      </w:r>
      <w:r>
        <w:rPr>
          <w:rFonts w:ascii="仿宋" w:hAnsi="仿宋" w:eastAsia="仿宋"/>
          <w:sz w:val="32"/>
          <w:szCs w:val="32"/>
        </w:rPr>
        <w:t>将吊车从位置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拉至位置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②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或者位置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3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③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，到达位置后</w:t>
      </w:r>
      <w:r>
        <w:rPr>
          <w:rFonts w:hint="eastAsia" w:ascii="仿宋" w:hAnsi="仿宋" w:eastAsia="仿宋"/>
          <w:sz w:val="32"/>
          <w:szCs w:val="32"/>
        </w:rPr>
        <w:t>由参赛队员</w:t>
      </w:r>
      <w:r>
        <w:rPr>
          <w:rFonts w:ascii="仿宋" w:hAnsi="仿宋" w:eastAsia="仿宋"/>
          <w:sz w:val="32"/>
          <w:szCs w:val="32"/>
        </w:rPr>
        <w:t>剪断</w:t>
      </w:r>
      <w:r>
        <w:rPr>
          <w:rFonts w:ascii="仿宋" w:hAnsi="仿宋" w:eastAsia="仿宋"/>
          <w:sz w:val="32"/>
          <w:szCs w:val="32"/>
          <w:lang w:val="zh-CN"/>
        </w:rPr>
        <w:t>A</w:t>
      </w:r>
      <w:r>
        <w:rPr>
          <w:rFonts w:ascii="仿宋" w:hAnsi="仿宋" w:eastAsia="仿宋"/>
          <w:sz w:val="32"/>
          <w:szCs w:val="32"/>
        </w:rPr>
        <w:t>加载点的扎带，砝码落入指定区域</w:t>
      </w:r>
      <w:r>
        <w:rPr>
          <w:rFonts w:hint="eastAsia" w:ascii="仿宋" w:hAnsi="仿宋" w:eastAsia="仿宋"/>
          <w:sz w:val="32"/>
          <w:szCs w:val="32"/>
        </w:rPr>
        <w:t>（直径为2</w:t>
      </w:r>
      <w:r>
        <w:rPr>
          <w:rFonts w:ascii="仿宋" w:hAnsi="仿宋" w:eastAsia="仿宋"/>
          <w:sz w:val="32"/>
          <w:szCs w:val="32"/>
        </w:rPr>
        <w:t>08mm</w:t>
      </w:r>
      <w:r>
        <w:rPr>
          <w:rFonts w:hint="eastAsia" w:ascii="仿宋" w:hAnsi="仿宋" w:eastAsia="仿宋"/>
          <w:sz w:val="32"/>
          <w:szCs w:val="32"/>
        </w:rPr>
        <w:t>的铁桶）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然后</w:t>
      </w:r>
      <w:r>
        <w:rPr>
          <w:rFonts w:ascii="仿宋" w:hAnsi="仿宋" w:eastAsia="仿宋"/>
          <w:sz w:val="32"/>
          <w:szCs w:val="32"/>
        </w:rPr>
        <w:t>选手</w:t>
      </w:r>
      <w:r>
        <w:rPr>
          <w:rFonts w:hint="eastAsia" w:ascii="仿宋" w:hAnsi="仿宋" w:eastAsia="仿宋"/>
          <w:sz w:val="32"/>
          <w:szCs w:val="32"/>
        </w:rPr>
        <w:t>再</w:t>
      </w:r>
      <w:r>
        <w:rPr>
          <w:rFonts w:ascii="仿宋" w:hAnsi="仿宋" w:eastAsia="仿宋"/>
          <w:sz w:val="32"/>
          <w:szCs w:val="32"/>
        </w:rPr>
        <w:t>将吊车拉回位置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①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，继续进行下一次加载。在总加载时间</w:t>
      </w:r>
      <w:r>
        <w:rPr>
          <w:rFonts w:ascii="仿宋" w:hAnsi="仿宋" w:eastAsia="仿宋"/>
          <w:sz w:val="32"/>
          <w:szCs w:val="32"/>
          <w:lang w:val="zh-CN"/>
        </w:rPr>
        <w:t>100</w:t>
      </w:r>
      <w:r>
        <w:rPr>
          <w:rFonts w:ascii="仿宋" w:hAnsi="仿宋" w:eastAsia="仿宋"/>
          <w:sz w:val="32"/>
          <w:szCs w:val="32"/>
        </w:rPr>
        <w:t>秒内，</w:t>
      </w:r>
      <w:r>
        <w:rPr>
          <w:rFonts w:ascii="仿宋" w:hAnsi="仿宋" w:eastAsia="仿宋"/>
          <w:sz w:val="32"/>
          <w:szCs w:val="32"/>
          <w:lang w:val="zh-CN"/>
        </w:rPr>
        <w:t>选手</w:t>
      </w:r>
      <w:r>
        <w:rPr>
          <w:rFonts w:ascii="仿宋" w:hAnsi="仿宋" w:eastAsia="仿宋"/>
          <w:sz w:val="32"/>
          <w:szCs w:val="32"/>
        </w:rPr>
        <w:t>可多次加载</w:t>
      </w:r>
      <w:r>
        <w:rPr>
          <w:rFonts w:hint="eastAsia" w:ascii="仿宋" w:hAnsi="仿宋" w:eastAsia="仿宋"/>
          <w:sz w:val="32"/>
          <w:szCs w:val="32"/>
        </w:rPr>
        <w:t>直至</w:t>
      </w:r>
      <w:r>
        <w:rPr>
          <w:rFonts w:ascii="仿宋" w:hAnsi="仿宋" w:eastAsia="仿宋"/>
          <w:sz w:val="32"/>
          <w:szCs w:val="32"/>
        </w:rPr>
        <w:t>结束计时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要求下一次加载重量必须大于等于上一次加载重量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备注：位置</w: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b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  <w:lang w:val="zh-CN"/>
        </w:rPr>
        <w:t>②</w: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b/>
          <w:sz w:val="32"/>
          <w:szCs w:val="32"/>
        </w:rPr>
        <w:t>砝码落入指定区域</w:t>
      </w:r>
      <w:r>
        <w:rPr>
          <w:rFonts w:hint="eastAsia" w:ascii="仿宋" w:hAnsi="仿宋" w:eastAsia="仿宋"/>
          <w:b/>
          <w:sz w:val="32"/>
          <w:szCs w:val="32"/>
        </w:rPr>
        <w:t>的</w:t>
      </w:r>
      <w:r>
        <w:rPr>
          <w:rFonts w:ascii="仿宋" w:hAnsi="仿宋" w:eastAsia="仿宋"/>
          <w:b/>
          <w:sz w:val="32"/>
          <w:szCs w:val="32"/>
        </w:rPr>
        <w:t>重量</w:t>
      </w:r>
      <w:r>
        <w:rPr>
          <w:rFonts w:hint="eastAsia" w:ascii="仿宋" w:hAnsi="仿宋" w:eastAsia="仿宋"/>
          <w:b/>
          <w:sz w:val="32"/>
          <w:szCs w:val="32"/>
        </w:rPr>
        <w:t>按</w:t>
      </w:r>
      <w:r>
        <w:rPr>
          <w:rFonts w:ascii="仿宋" w:hAnsi="仿宋" w:eastAsia="仿宋"/>
          <w:b/>
          <w:sz w:val="32"/>
          <w:szCs w:val="32"/>
          <w:lang w:val="zh-CN"/>
        </w:rPr>
        <w:t>0.5</w:t>
      </w:r>
      <w:r>
        <w:rPr>
          <w:rFonts w:ascii="仿宋" w:hAnsi="仿宋" w:eastAsia="仿宋"/>
          <w:b/>
          <w:sz w:val="32"/>
          <w:szCs w:val="32"/>
        </w:rPr>
        <w:t>折减系数</w:t>
      </w:r>
      <w:r>
        <w:rPr>
          <w:rFonts w:hint="eastAsia" w:ascii="仿宋" w:hAnsi="仿宋" w:eastAsia="仿宋"/>
          <w:b/>
          <w:sz w:val="32"/>
          <w:szCs w:val="32"/>
        </w:rPr>
        <w:t>计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备注：砝码尺寸m</w:t>
      </w:r>
      <w:r>
        <w:rPr>
          <w:rFonts w:ascii="仿宋" w:hAnsi="仿宋" w:eastAsia="仿宋"/>
          <w:bCs/>
          <w:sz w:val="32"/>
          <w:szCs w:val="32"/>
        </w:rPr>
        <w:t>m</w:t>
      </w:r>
      <w:r>
        <w:rPr>
          <w:rFonts w:hint="eastAsia" w:ascii="仿宋" w:hAnsi="仿宋" w:eastAsia="仿宋"/>
          <w:bCs/>
          <w:sz w:val="32"/>
          <w:szCs w:val="32"/>
        </w:rPr>
        <w:t>（4kg直径9</w:t>
      </w:r>
      <w:r>
        <w:rPr>
          <w:rFonts w:ascii="仿宋" w:hAnsi="仿宋" w:eastAsia="仿宋"/>
          <w:bCs/>
          <w:sz w:val="32"/>
          <w:szCs w:val="32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30</w:t>
      </w:r>
      <w:r>
        <w:rPr>
          <w:rFonts w:hint="eastAsia" w:ascii="仿宋" w:hAnsi="仿宋" w:eastAsia="仿宋"/>
          <w:bCs/>
          <w:sz w:val="32"/>
          <w:szCs w:val="32"/>
        </w:rPr>
        <w:t>，6kg直径1</w:t>
      </w:r>
      <w:r>
        <w:rPr>
          <w:rFonts w:ascii="仿宋" w:hAnsi="仿宋" w:eastAsia="仿宋"/>
          <w:bCs/>
          <w:sz w:val="32"/>
          <w:szCs w:val="32"/>
        </w:rPr>
        <w:t>00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60</w:t>
      </w:r>
      <w:r>
        <w:rPr>
          <w:rFonts w:hint="eastAsia" w:ascii="仿宋" w:hAnsi="仿宋" w:eastAsia="仿宋"/>
          <w:bCs/>
          <w:sz w:val="32"/>
          <w:szCs w:val="32"/>
        </w:rPr>
        <w:t>，8kg直径1</w:t>
      </w:r>
      <w:r>
        <w:rPr>
          <w:rFonts w:ascii="仿宋" w:hAnsi="仿宋" w:eastAsia="仿宋"/>
          <w:bCs/>
          <w:sz w:val="32"/>
          <w:szCs w:val="32"/>
        </w:rPr>
        <w:t>10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70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482"/>
        <w:jc w:val="both"/>
        <w:textAlignment w:val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10</w:t>
      </w:r>
      <w:r>
        <w:rPr>
          <w:rFonts w:hint="eastAsia" w:ascii="仿宋" w:hAnsi="仿宋" w:eastAsia="仿宋" w:cs="Times New Roman"/>
          <w:bCs/>
          <w:sz w:val="32"/>
          <w:szCs w:val="32"/>
        </w:rPr>
        <w:t>升容积升铁桶尺寸m</w:t>
      </w:r>
      <w:r>
        <w:rPr>
          <w:rFonts w:ascii="仿宋" w:hAnsi="仿宋" w:eastAsia="仿宋" w:cs="Times New Roman"/>
          <w:bCs/>
          <w:sz w:val="32"/>
          <w:szCs w:val="32"/>
        </w:rPr>
        <w:t>m</w:t>
      </w:r>
      <w:r>
        <w:rPr>
          <w:rFonts w:hint="eastAsia" w:ascii="仿宋" w:hAnsi="仿宋" w:eastAsia="仿宋" w:cs="Times New Roman"/>
          <w:bCs/>
          <w:sz w:val="32"/>
          <w:szCs w:val="32"/>
        </w:rPr>
        <w:t>（直径2</w:t>
      </w:r>
      <w:r>
        <w:rPr>
          <w:rFonts w:ascii="仿宋" w:hAnsi="仿宋" w:eastAsia="仿宋" w:cs="Times New Roman"/>
          <w:bCs/>
          <w:sz w:val="32"/>
          <w:szCs w:val="32"/>
        </w:rPr>
        <w:t xml:space="preserve">08 </w:t>
      </w:r>
      <w:r>
        <w:rPr>
          <w:rFonts w:hint="eastAsia" w:ascii="仿宋" w:hAnsi="仿宋" w:eastAsia="仿宋" w:cs="Times New Roman"/>
          <w:bCs/>
          <w:sz w:val="32"/>
          <w:szCs w:val="32"/>
        </w:rPr>
        <w:t>高度2</w:t>
      </w:r>
      <w:r>
        <w:rPr>
          <w:rFonts w:ascii="仿宋" w:hAnsi="仿宋" w:eastAsia="仿宋" w:cs="Times New Roman"/>
          <w:bCs/>
          <w:sz w:val="32"/>
          <w:szCs w:val="32"/>
        </w:rPr>
        <w:t>94</w:t>
      </w:r>
      <w:r>
        <w:rPr>
          <w:rFonts w:hint="eastAsia" w:ascii="仿宋" w:hAnsi="仿宋" w:eastAsia="仿宋" w:cs="Times New Roman"/>
          <w:bCs/>
          <w:sz w:val="32"/>
          <w:szCs w:val="32"/>
        </w:rPr>
        <w:t>）</w:t>
      </w:r>
    </w:p>
    <w:p>
      <w:pPr>
        <w:pStyle w:val="10"/>
        <w:spacing w:before="0" w:beforeAutospacing="0" w:after="0" w:afterAutospacing="0" w:line="324" w:lineRule="auto"/>
        <w:rPr>
          <w:rFonts w:ascii="仿宋" w:hAnsi="仿宋" w:eastAsia="仿宋"/>
          <w:lang w:val="zh-CN"/>
        </w:rPr>
      </w:pPr>
      <w:r>
        <w:rPr>
          <w:rFonts w:ascii="仿宋" w:hAnsi="仿宋" w:eastAsia="仿宋"/>
        </w:rPr>
        <w:drawing>
          <wp:inline distT="0" distB="0" distL="0" distR="0">
            <wp:extent cx="6231890" cy="3966845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4476" cy="39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加载示意图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）加载失败判别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在加载过程中，当出现以下任一情况时，即视为加载失败：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塔吊在起吊和运输重量过程中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发生倒塌；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砝码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落地，挂钩脱落，绑绳拉断或脱落；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3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③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其他评委认定模型加载</w:t>
      </w:r>
      <w:r>
        <w:rPr>
          <w:rFonts w:hint="eastAsia" w:ascii="仿宋" w:hAnsi="仿宋" w:eastAsia="仿宋"/>
          <w:kern w:val="0"/>
          <w:sz w:val="32"/>
          <w:szCs w:val="32"/>
        </w:rPr>
        <w:t>失败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）加载重量无效判别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砝码未落入指定区域；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fldChar w:fldCharType="begin"/>
      </w:r>
      <w:r>
        <w:rPr>
          <w:rFonts w:ascii="仿宋" w:hAnsi="仿宋" w:eastAsia="仿宋"/>
          <w:kern w:val="0"/>
          <w:sz w:val="32"/>
          <w:szCs w:val="32"/>
        </w:rPr>
        <w:instrText xml:space="preserve"> = 2 \* GB3 </w:instrText>
      </w:r>
      <w:r>
        <w:rPr>
          <w:rFonts w:ascii="仿宋" w:hAnsi="仿宋" w:eastAsia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</w:rPr>
        <w:t>②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其他评委认定加载重量无效。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根据理论方案、结构设计与制作、陈述与答辩、模型加载试验等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个方面进行评分，总分为</w:t>
      </w:r>
      <w:r>
        <w:rPr>
          <w:rFonts w:ascii="仿宋" w:hAnsi="仿宋" w:eastAsia="仿宋"/>
          <w:kern w:val="0"/>
          <w:sz w:val="32"/>
          <w:szCs w:val="32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）理论方案（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理论方案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结构</w:t>
      </w:r>
      <w:r>
        <w:rPr>
          <w:rFonts w:hint="eastAsia" w:ascii="仿宋" w:hAnsi="仿宋" w:eastAsia="仿宋"/>
          <w:sz w:val="32"/>
          <w:szCs w:val="32"/>
        </w:rPr>
        <w:t>设计与理论分析的完整性、合理性、创新性评分。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）结构设计与制作（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①结构合理性和结构创新性（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②模型制作质量与美观性（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）陈述与答辩（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由参赛队员简要介绍作品构思，现场回答专家的提问。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）模型加载试验（</w:t>
      </w:r>
      <w:r>
        <w:rPr>
          <w:rFonts w:ascii="仿宋" w:hAnsi="仿宋" w:eastAsia="仿宋"/>
          <w:kern w:val="0"/>
          <w:sz w:val="32"/>
          <w:szCs w:val="32"/>
        </w:rPr>
        <w:t>80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①各参赛队模型（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）在各加载阶段的</w:t>
      </w:r>
      <w:r>
        <w:rPr>
          <w:rFonts w:hint="eastAsia" w:ascii="仿宋" w:hAnsi="仿宋" w:eastAsia="仿宋"/>
          <w:kern w:val="0"/>
          <w:sz w:val="32"/>
          <w:szCs w:val="32"/>
        </w:rPr>
        <w:t>承载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能力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，按式（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）计算：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fldChar w:fldCharType="begin"/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instrText xml:space="preserve"> QUOTE </w:instrText>
            </w:r>
            <w:r>
              <w:rPr>
                <w:rFonts w:ascii="仿宋" w:hAnsi="仿宋" w:eastAsia="仿宋"/>
                <w:position w:val="-12"/>
                <w:sz w:val="32"/>
                <w:szCs w:val="32"/>
              </w:rPr>
              <w:pict>
                <v:shape id="_x0000_i1025" o:spt="75" type="#_x0000_t75" style="height:20.5pt;width:38.75pt;" filled="f" o:preferrelative="t" stroked="f" coordsize="21600,21600" equationxml="&lt;">
                  <v:path/>
                  <v:fill on="f" focussize="0,0"/>
                  <v:stroke on="f" joinstyle="miter"/>
                  <v:imagedata r:id="rId13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fldChar w:fldCharType="end"/>
            </w:r>
            <w:r>
              <w:rPr>
                <w:rFonts w:ascii="仿宋" w:hAnsi="仿宋" w:eastAsia="仿宋"/>
                <w:position w:val="-24"/>
                <w:sz w:val="32"/>
                <w:szCs w:val="32"/>
              </w:rPr>
              <w:object>
                <v:shape id="_x0000_i1026" o:spt="75" type="#_x0000_t75" style="height:31pt;width:43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5" r:id="rId14">
                  <o:LockedField>false</o:LockedField>
                </o:OLEObject>
              </w:objec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zh-CN"/>
              </w:rPr>
              <w:t>（</w:t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—本队模型加载成功的总荷载（A点）；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25"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—本队模型的自重（单位：</w:t>
      </w:r>
      <w:r>
        <w:rPr>
          <w:rFonts w:ascii="仿宋" w:hAnsi="仿宋" w:eastAsia="仿宋"/>
          <w:kern w:val="0"/>
          <w:sz w:val="32"/>
          <w:szCs w:val="32"/>
          <w:lang w:val="zh-CN"/>
        </w:rPr>
        <w:t>kg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②模型</w:t>
      </w:r>
      <w:r>
        <w:rPr>
          <w:rFonts w:hint="eastAsia" w:ascii="仿宋" w:hAnsi="仿宋" w:eastAsia="仿宋"/>
          <w:kern w:val="0"/>
          <w:sz w:val="32"/>
          <w:szCs w:val="32"/>
        </w:rPr>
        <w:t>加载试验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得分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C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，按式（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）计算：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right="420" w:firstLine="4160" w:firstLineChars="13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position w:val="-30"/>
          <w:sz w:val="32"/>
          <w:szCs w:val="32"/>
        </w:rPr>
        <w:object>
          <v:shape id="_x0000_i1027" o:spt="75" type="#_x0000_t75" style="height:33.8pt;width:71.4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16">
            <o:LockedField>false</o:LockedField>
          </o:OLEObject>
        </w:objec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kern w:val="0"/>
          <w:sz w:val="32"/>
          <w:szCs w:val="32"/>
          <w:vertAlign w:val="subscript"/>
          <w:lang w:val="zh-CN"/>
        </w:rPr>
        <w:t>max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—所有加载成功的参赛队模型</w:t>
      </w:r>
      <w:r>
        <w:rPr>
          <w:rFonts w:hint="eastAsia" w:ascii="仿宋" w:hAnsi="仿宋" w:eastAsia="仿宋"/>
          <w:kern w:val="0"/>
          <w:sz w:val="32"/>
          <w:szCs w:val="32"/>
        </w:rPr>
        <w:t>承载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能力最大值。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-358775</wp:posOffset>
              </wp:positionV>
              <wp:extent cx="1828800" cy="1828800"/>
              <wp:effectExtent l="0" t="0" r="0" b="0"/>
              <wp:wrapNone/>
              <wp:docPr id="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22.9pt;margin-top:-2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6OnD62AAAAAsBAAAPAAAAAAAAAAEAIAAAACIAAABkcnMv&#10;ZG93bnJldi54bWxQSwECFAAUAAAACACHTuJAcilxqcoBAACc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zQwNTNiNTM0YmE0NzM0OGZiMDE4YjgyMDkzMzIifQ=="/>
    <w:docVar w:name="KSO_WPS_MARK_KEY" w:val="60df1145-a9ac-481d-ac70-bf04f182c612"/>
  </w:docVars>
  <w:rsids>
    <w:rsidRoot w:val="00D92424"/>
    <w:rsid w:val="00002434"/>
    <w:rsid w:val="00006289"/>
    <w:rsid w:val="00006E0D"/>
    <w:rsid w:val="00015520"/>
    <w:rsid w:val="00030A91"/>
    <w:rsid w:val="00060DCA"/>
    <w:rsid w:val="000655D3"/>
    <w:rsid w:val="00076288"/>
    <w:rsid w:val="00086FA0"/>
    <w:rsid w:val="000A15F9"/>
    <w:rsid w:val="000B7A6A"/>
    <w:rsid w:val="000C3DAF"/>
    <w:rsid w:val="000D231E"/>
    <w:rsid w:val="000F1DB3"/>
    <w:rsid w:val="00117074"/>
    <w:rsid w:val="00122143"/>
    <w:rsid w:val="00135A9F"/>
    <w:rsid w:val="00137DF2"/>
    <w:rsid w:val="00146769"/>
    <w:rsid w:val="00155375"/>
    <w:rsid w:val="00161F9D"/>
    <w:rsid w:val="001B24C5"/>
    <w:rsid w:val="001B7A72"/>
    <w:rsid w:val="001C7EC2"/>
    <w:rsid w:val="001D6DC3"/>
    <w:rsid w:val="001E2AEF"/>
    <w:rsid w:val="001E5552"/>
    <w:rsid w:val="001F60E2"/>
    <w:rsid w:val="00205138"/>
    <w:rsid w:val="00213DEA"/>
    <w:rsid w:val="00214ABB"/>
    <w:rsid w:val="0022285E"/>
    <w:rsid w:val="00234370"/>
    <w:rsid w:val="00237F93"/>
    <w:rsid w:val="002772D8"/>
    <w:rsid w:val="00284CCA"/>
    <w:rsid w:val="00286B9A"/>
    <w:rsid w:val="00297456"/>
    <w:rsid w:val="002B1390"/>
    <w:rsid w:val="002B1565"/>
    <w:rsid w:val="002C3501"/>
    <w:rsid w:val="002C700C"/>
    <w:rsid w:val="002D3A85"/>
    <w:rsid w:val="002E1C29"/>
    <w:rsid w:val="0032139C"/>
    <w:rsid w:val="003343B9"/>
    <w:rsid w:val="003359B0"/>
    <w:rsid w:val="00341728"/>
    <w:rsid w:val="00350909"/>
    <w:rsid w:val="003571E2"/>
    <w:rsid w:val="00377A81"/>
    <w:rsid w:val="003916C6"/>
    <w:rsid w:val="00392609"/>
    <w:rsid w:val="00396BFC"/>
    <w:rsid w:val="003E0735"/>
    <w:rsid w:val="003F032F"/>
    <w:rsid w:val="003F58D7"/>
    <w:rsid w:val="00402BC9"/>
    <w:rsid w:val="00410D4E"/>
    <w:rsid w:val="00425219"/>
    <w:rsid w:val="00447754"/>
    <w:rsid w:val="00460639"/>
    <w:rsid w:val="0046744A"/>
    <w:rsid w:val="0047299E"/>
    <w:rsid w:val="0048270D"/>
    <w:rsid w:val="004A5BCA"/>
    <w:rsid w:val="004C179B"/>
    <w:rsid w:val="004F0220"/>
    <w:rsid w:val="004F4BD5"/>
    <w:rsid w:val="00507FFD"/>
    <w:rsid w:val="00511171"/>
    <w:rsid w:val="00520DDB"/>
    <w:rsid w:val="005223B7"/>
    <w:rsid w:val="00546446"/>
    <w:rsid w:val="005523D1"/>
    <w:rsid w:val="00564A4F"/>
    <w:rsid w:val="00576DB9"/>
    <w:rsid w:val="00582357"/>
    <w:rsid w:val="00590D9C"/>
    <w:rsid w:val="00596E9E"/>
    <w:rsid w:val="005A11DC"/>
    <w:rsid w:val="005A438A"/>
    <w:rsid w:val="005B2C43"/>
    <w:rsid w:val="005B6A09"/>
    <w:rsid w:val="005E71C3"/>
    <w:rsid w:val="00600C90"/>
    <w:rsid w:val="00600F51"/>
    <w:rsid w:val="006232F8"/>
    <w:rsid w:val="006250EC"/>
    <w:rsid w:val="0062717A"/>
    <w:rsid w:val="00647B5C"/>
    <w:rsid w:val="00652D68"/>
    <w:rsid w:val="00662B63"/>
    <w:rsid w:val="00677C14"/>
    <w:rsid w:val="006831B0"/>
    <w:rsid w:val="00683610"/>
    <w:rsid w:val="006B1EE7"/>
    <w:rsid w:val="006D0A9F"/>
    <w:rsid w:val="0070607D"/>
    <w:rsid w:val="00711C7A"/>
    <w:rsid w:val="00726BF7"/>
    <w:rsid w:val="00726E5B"/>
    <w:rsid w:val="00732837"/>
    <w:rsid w:val="007616BF"/>
    <w:rsid w:val="00761836"/>
    <w:rsid w:val="007628EF"/>
    <w:rsid w:val="00762AFF"/>
    <w:rsid w:val="00780ABB"/>
    <w:rsid w:val="007F7B1C"/>
    <w:rsid w:val="00807941"/>
    <w:rsid w:val="00815AC9"/>
    <w:rsid w:val="00822292"/>
    <w:rsid w:val="008300EB"/>
    <w:rsid w:val="00834781"/>
    <w:rsid w:val="00837F77"/>
    <w:rsid w:val="00854820"/>
    <w:rsid w:val="00864944"/>
    <w:rsid w:val="008A09DE"/>
    <w:rsid w:val="008A1303"/>
    <w:rsid w:val="008A3010"/>
    <w:rsid w:val="008D7C69"/>
    <w:rsid w:val="008E3DF2"/>
    <w:rsid w:val="009003C7"/>
    <w:rsid w:val="00902A34"/>
    <w:rsid w:val="00905167"/>
    <w:rsid w:val="00913753"/>
    <w:rsid w:val="00924841"/>
    <w:rsid w:val="00932BB9"/>
    <w:rsid w:val="0098148A"/>
    <w:rsid w:val="009814BB"/>
    <w:rsid w:val="00981F7C"/>
    <w:rsid w:val="00990AF0"/>
    <w:rsid w:val="0099498D"/>
    <w:rsid w:val="009D4E4B"/>
    <w:rsid w:val="009D53EB"/>
    <w:rsid w:val="009D7DDF"/>
    <w:rsid w:val="009E62AF"/>
    <w:rsid w:val="009F1562"/>
    <w:rsid w:val="009F774E"/>
    <w:rsid w:val="00A102F4"/>
    <w:rsid w:val="00A114E1"/>
    <w:rsid w:val="00A16D32"/>
    <w:rsid w:val="00A2549D"/>
    <w:rsid w:val="00A30A6B"/>
    <w:rsid w:val="00A635D1"/>
    <w:rsid w:val="00A73A2B"/>
    <w:rsid w:val="00A76B3A"/>
    <w:rsid w:val="00AA6AC8"/>
    <w:rsid w:val="00AB1762"/>
    <w:rsid w:val="00AB617D"/>
    <w:rsid w:val="00AC39BE"/>
    <w:rsid w:val="00AD531B"/>
    <w:rsid w:val="00AF7DB7"/>
    <w:rsid w:val="00B07F22"/>
    <w:rsid w:val="00B157B1"/>
    <w:rsid w:val="00B2367A"/>
    <w:rsid w:val="00B5226F"/>
    <w:rsid w:val="00B56EDE"/>
    <w:rsid w:val="00B842C9"/>
    <w:rsid w:val="00BA16C9"/>
    <w:rsid w:val="00BB69F3"/>
    <w:rsid w:val="00BD5F4A"/>
    <w:rsid w:val="00BF2053"/>
    <w:rsid w:val="00BF396C"/>
    <w:rsid w:val="00C1149B"/>
    <w:rsid w:val="00C27612"/>
    <w:rsid w:val="00C3183A"/>
    <w:rsid w:val="00C3399A"/>
    <w:rsid w:val="00C57F10"/>
    <w:rsid w:val="00C64C73"/>
    <w:rsid w:val="00C7764E"/>
    <w:rsid w:val="00C83FDA"/>
    <w:rsid w:val="00C86424"/>
    <w:rsid w:val="00C92308"/>
    <w:rsid w:val="00CA2692"/>
    <w:rsid w:val="00CA2EA3"/>
    <w:rsid w:val="00CA378C"/>
    <w:rsid w:val="00D03BDF"/>
    <w:rsid w:val="00D11AC4"/>
    <w:rsid w:val="00D14B3C"/>
    <w:rsid w:val="00D17D4B"/>
    <w:rsid w:val="00D24B69"/>
    <w:rsid w:val="00D3230B"/>
    <w:rsid w:val="00D33020"/>
    <w:rsid w:val="00D33164"/>
    <w:rsid w:val="00D37067"/>
    <w:rsid w:val="00D4287A"/>
    <w:rsid w:val="00D43537"/>
    <w:rsid w:val="00D663B9"/>
    <w:rsid w:val="00D723B7"/>
    <w:rsid w:val="00D74357"/>
    <w:rsid w:val="00D76F1E"/>
    <w:rsid w:val="00D77BF6"/>
    <w:rsid w:val="00D87F2A"/>
    <w:rsid w:val="00D92424"/>
    <w:rsid w:val="00D9673B"/>
    <w:rsid w:val="00DA1F7A"/>
    <w:rsid w:val="00DC5643"/>
    <w:rsid w:val="00E00139"/>
    <w:rsid w:val="00E12DB6"/>
    <w:rsid w:val="00E215A2"/>
    <w:rsid w:val="00E23361"/>
    <w:rsid w:val="00E30BC7"/>
    <w:rsid w:val="00E64B14"/>
    <w:rsid w:val="00E72ABA"/>
    <w:rsid w:val="00E75407"/>
    <w:rsid w:val="00E773C5"/>
    <w:rsid w:val="00E8103A"/>
    <w:rsid w:val="00E95CBD"/>
    <w:rsid w:val="00E964DD"/>
    <w:rsid w:val="00EA31B3"/>
    <w:rsid w:val="00EB113D"/>
    <w:rsid w:val="00EB39E7"/>
    <w:rsid w:val="00EC4D0C"/>
    <w:rsid w:val="00EE34DD"/>
    <w:rsid w:val="00F006DE"/>
    <w:rsid w:val="00F075E8"/>
    <w:rsid w:val="00F13511"/>
    <w:rsid w:val="00F36148"/>
    <w:rsid w:val="00F40743"/>
    <w:rsid w:val="00F70131"/>
    <w:rsid w:val="00FA1278"/>
    <w:rsid w:val="00FA421B"/>
    <w:rsid w:val="00FC5D8B"/>
    <w:rsid w:val="00FD44F2"/>
    <w:rsid w:val="00FD6518"/>
    <w:rsid w:val="00FF1D1B"/>
    <w:rsid w:val="01C72FCA"/>
    <w:rsid w:val="01F743D5"/>
    <w:rsid w:val="02B23456"/>
    <w:rsid w:val="03800D34"/>
    <w:rsid w:val="0397546B"/>
    <w:rsid w:val="04921E73"/>
    <w:rsid w:val="052A53FB"/>
    <w:rsid w:val="05DB04A3"/>
    <w:rsid w:val="06710E08"/>
    <w:rsid w:val="076F1B92"/>
    <w:rsid w:val="085D4119"/>
    <w:rsid w:val="086E2A85"/>
    <w:rsid w:val="08940DDD"/>
    <w:rsid w:val="08994EA0"/>
    <w:rsid w:val="08CF41F4"/>
    <w:rsid w:val="08E04023"/>
    <w:rsid w:val="09232761"/>
    <w:rsid w:val="0BEB2DF8"/>
    <w:rsid w:val="0CC2416B"/>
    <w:rsid w:val="0D1644B7"/>
    <w:rsid w:val="0E523494"/>
    <w:rsid w:val="0E8E3129"/>
    <w:rsid w:val="10555737"/>
    <w:rsid w:val="137B5074"/>
    <w:rsid w:val="17ED150C"/>
    <w:rsid w:val="18F04206"/>
    <w:rsid w:val="19573E8D"/>
    <w:rsid w:val="1A2C07AF"/>
    <w:rsid w:val="1A905151"/>
    <w:rsid w:val="1C515288"/>
    <w:rsid w:val="1D3B7198"/>
    <w:rsid w:val="1EFF4DAB"/>
    <w:rsid w:val="21012D14"/>
    <w:rsid w:val="21297268"/>
    <w:rsid w:val="21CD2F3E"/>
    <w:rsid w:val="240370EB"/>
    <w:rsid w:val="2561056D"/>
    <w:rsid w:val="29891E41"/>
    <w:rsid w:val="2A0F2537"/>
    <w:rsid w:val="2A133CA5"/>
    <w:rsid w:val="2AE9690F"/>
    <w:rsid w:val="2AF4778E"/>
    <w:rsid w:val="2BAC1E16"/>
    <w:rsid w:val="2C2463E3"/>
    <w:rsid w:val="2CEA4E16"/>
    <w:rsid w:val="2D205859"/>
    <w:rsid w:val="2D5B3AF4"/>
    <w:rsid w:val="2EE8585B"/>
    <w:rsid w:val="300F72A5"/>
    <w:rsid w:val="31C3631C"/>
    <w:rsid w:val="31E3024B"/>
    <w:rsid w:val="322E6814"/>
    <w:rsid w:val="3301208E"/>
    <w:rsid w:val="33B33D69"/>
    <w:rsid w:val="351153E0"/>
    <w:rsid w:val="35AB1391"/>
    <w:rsid w:val="36121410"/>
    <w:rsid w:val="36F73743"/>
    <w:rsid w:val="398B7F12"/>
    <w:rsid w:val="39B2341E"/>
    <w:rsid w:val="3A1033D4"/>
    <w:rsid w:val="3B896B1D"/>
    <w:rsid w:val="3DBF4855"/>
    <w:rsid w:val="3E551523"/>
    <w:rsid w:val="3EF142B8"/>
    <w:rsid w:val="42084163"/>
    <w:rsid w:val="4251506E"/>
    <w:rsid w:val="42A17DA3"/>
    <w:rsid w:val="42AD499A"/>
    <w:rsid w:val="44384D14"/>
    <w:rsid w:val="4457507B"/>
    <w:rsid w:val="4474494D"/>
    <w:rsid w:val="4641058F"/>
    <w:rsid w:val="47A07E0A"/>
    <w:rsid w:val="48226CFC"/>
    <w:rsid w:val="495711BC"/>
    <w:rsid w:val="49BD4A30"/>
    <w:rsid w:val="4BD242C7"/>
    <w:rsid w:val="4DCF7EBB"/>
    <w:rsid w:val="4E790ADF"/>
    <w:rsid w:val="4F222EB1"/>
    <w:rsid w:val="50884351"/>
    <w:rsid w:val="50CA4969"/>
    <w:rsid w:val="51C84099"/>
    <w:rsid w:val="52867258"/>
    <w:rsid w:val="52942227"/>
    <w:rsid w:val="537662DC"/>
    <w:rsid w:val="547F3CBD"/>
    <w:rsid w:val="57E50A07"/>
    <w:rsid w:val="596C6C2A"/>
    <w:rsid w:val="59854054"/>
    <w:rsid w:val="5B987D8C"/>
    <w:rsid w:val="5CC841C1"/>
    <w:rsid w:val="5D0723FF"/>
    <w:rsid w:val="5F5C462D"/>
    <w:rsid w:val="5FE33352"/>
    <w:rsid w:val="602F363F"/>
    <w:rsid w:val="61812E22"/>
    <w:rsid w:val="628250A4"/>
    <w:rsid w:val="6342214A"/>
    <w:rsid w:val="639D5294"/>
    <w:rsid w:val="63CD75D8"/>
    <w:rsid w:val="640221C9"/>
    <w:rsid w:val="65C50EF1"/>
    <w:rsid w:val="66122913"/>
    <w:rsid w:val="66195667"/>
    <w:rsid w:val="66F258BF"/>
    <w:rsid w:val="67B505E6"/>
    <w:rsid w:val="694E02BD"/>
    <w:rsid w:val="69865AAB"/>
    <w:rsid w:val="6B025C11"/>
    <w:rsid w:val="6B3D5F0C"/>
    <w:rsid w:val="6C0F34ED"/>
    <w:rsid w:val="6E8E0ADB"/>
    <w:rsid w:val="709F32C5"/>
    <w:rsid w:val="714E4F89"/>
    <w:rsid w:val="727E6F0A"/>
    <w:rsid w:val="74432765"/>
    <w:rsid w:val="752B4C61"/>
    <w:rsid w:val="76120095"/>
    <w:rsid w:val="76285B0A"/>
    <w:rsid w:val="76BE1D98"/>
    <w:rsid w:val="773639A3"/>
    <w:rsid w:val="778247E8"/>
    <w:rsid w:val="78C23FF4"/>
    <w:rsid w:val="794927C5"/>
    <w:rsid w:val="794C2BB5"/>
    <w:rsid w:val="79C815DD"/>
    <w:rsid w:val="7C057024"/>
    <w:rsid w:val="7F5E259D"/>
    <w:rsid w:val="7F790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1"/>
    <w:basedOn w:val="1"/>
    <w:next w:val="18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9">
    <w:name w:val="批注框文本 Char"/>
    <w:basedOn w:val="14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列出段落 Char"/>
    <w:link w:val="18"/>
    <w:qFormat/>
    <w:uiPriority w:val="34"/>
    <w:rPr>
      <w:rFonts w:ascii="Times New Roman" w:hAnsi="Times New Roman" w:eastAsia="宋体" w:cs="Times New Roman"/>
      <w:szCs w:val="20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24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表中文字"/>
    <w:basedOn w:val="1"/>
    <w:qFormat/>
    <w:uiPriority w:val="0"/>
    <w:pPr>
      <w:adjustRightInd w:val="0"/>
      <w:snapToGrid w:val="0"/>
      <w:jc w:val="center"/>
    </w:pPr>
    <w:rPr>
      <w:rFonts w:hint="eastAsia"/>
      <w:szCs w:val="21"/>
    </w:rPr>
  </w:style>
  <w:style w:type="character" w:customStyle="1" w:styleId="26">
    <w:name w:val="批注文字 Char"/>
    <w:basedOn w:val="14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7">
    <w:name w:val="批注主题 Char"/>
    <w:basedOn w:val="26"/>
    <w:link w:val="1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0.wmf"/><Relationship Id="rId16" Type="http://schemas.openxmlformats.org/officeDocument/2006/relationships/oleObject" Target="embeddings/oleObject2.bin"/><Relationship Id="rId15" Type="http://schemas.openxmlformats.org/officeDocument/2006/relationships/image" Target="media/image9.wmf"/><Relationship Id="rId14" Type="http://schemas.openxmlformats.org/officeDocument/2006/relationships/oleObject" Target="embeddings/oleObject1.bin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1974</Words>
  <Characters>2226</Characters>
  <Lines>21</Lines>
  <Paragraphs>6</Paragraphs>
  <TotalTime>5</TotalTime>
  <ScaleCrop>false</ScaleCrop>
  <LinksUpToDate>false</LinksUpToDate>
  <CharactersWithSpaces>2232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2023-01-03T02:28:00Z</dcterms:created>
  <dc:creator>dell</dc:creator>
  <cp:lastModifiedBy>ZJUWZ3050</cp:lastModifiedBy>
  <dcterms:modified xsi:type="dcterms:W3CDTF">2023-02-27T03:44:56Z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A9D4708A361D44D7867A5BB5FD5B3E32</vt:lpwstr>
  </property>
</Properties>
</file>