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附件：结构设计竞赛细则</w:t>
      </w:r>
    </w:p>
    <w:p>
      <w:pPr>
        <w:adjustRightInd w:val="0"/>
        <w:snapToGrid w:val="0"/>
        <w:spacing w:beforeLines="50" w:afterLines="50" w:line="360" w:lineRule="exact"/>
        <w:outlineLvl w:val="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/>
          <w:sz w:val="24"/>
          <w:szCs w:val="24"/>
        </w:rPr>
        <w:t>附件1：</w:t>
      </w:r>
      <w:r>
        <w:rPr>
          <w:rFonts w:hint="eastAsia" w:asciiTheme="minorEastAsia" w:hAnsiTheme="minorEastAsia" w:eastAsiaTheme="minorEastAsia"/>
          <w:sz w:val="28"/>
          <w:szCs w:val="28"/>
        </w:rPr>
        <w:t>浙江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大学</w:t>
      </w:r>
      <w:r>
        <w:rPr>
          <w:rFonts w:hint="eastAsia" w:asciiTheme="minorEastAsia" w:hAnsiTheme="minorEastAsia" w:eastAsiaTheme="minorEastAsia"/>
          <w:sz w:val="28"/>
          <w:szCs w:val="28"/>
        </w:rPr>
        <w:t>第二十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二</w:t>
      </w:r>
      <w:r>
        <w:rPr>
          <w:rFonts w:hint="eastAsia" w:asciiTheme="minorEastAsia" w:hAnsiTheme="minorEastAsia" w:eastAsiaTheme="minorEastAsia"/>
          <w:sz w:val="28"/>
          <w:szCs w:val="28"/>
        </w:rPr>
        <w:t>届大学生结构设计竞赛题目</w:t>
      </w:r>
    </w:p>
    <w:p>
      <w:pPr>
        <w:adjustRightInd w:val="0"/>
        <w:snapToGrid w:val="0"/>
        <w:spacing w:beforeLines="50" w:afterLines="50" w:line="360" w:lineRule="exact"/>
        <w:ind w:firstLine="1405" w:firstLineChars="500"/>
        <w:outlineLvl w:val="0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《不等跨双车道拉索桥结构设计与</w:t>
      </w:r>
      <w:r>
        <w:rPr>
          <w:rFonts w:ascii="黑体" w:hAnsi="黑体" w:eastAsia="黑体"/>
          <w:b/>
          <w:color w:val="000000"/>
          <w:sz w:val="28"/>
          <w:szCs w:val="28"/>
        </w:rPr>
        <w:t>模型制作</w:t>
      </w:r>
      <w:r>
        <w:rPr>
          <w:rFonts w:hint="eastAsia" w:ascii="黑体" w:hAnsi="黑体" w:eastAsia="黑体"/>
          <w:b/>
          <w:color w:val="000000"/>
          <w:sz w:val="28"/>
          <w:szCs w:val="28"/>
        </w:rPr>
        <w:t>》</w:t>
      </w:r>
    </w:p>
    <w:p>
      <w:pPr>
        <w:adjustRightInd w:val="0"/>
        <w:snapToGrid w:val="0"/>
        <w:spacing w:beforeLines="50" w:afterLines="50" w:line="360" w:lineRule="exact"/>
        <w:ind w:firstLine="482" w:firstLineChars="200"/>
        <w:rPr>
          <w:rFonts w:eastAsia="黑体"/>
          <w:b/>
          <w:bCs/>
          <w:color w:val="000000"/>
          <w:sz w:val="24"/>
          <w:szCs w:val="24"/>
        </w:rPr>
      </w:pPr>
      <w:r>
        <w:rPr>
          <w:rFonts w:eastAsia="黑体"/>
          <w:b/>
          <w:bCs/>
          <w:color w:val="000000"/>
          <w:sz w:val="24"/>
          <w:szCs w:val="24"/>
        </w:rPr>
        <w:t>1.竞赛模型</w:t>
      </w:r>
    </w:p>
    <w:p>
      <w:pPr>
        <w:autoSpaceDE w:val="0"/>
        <w:autoSpaceDN w:val="0"/>
        <w:adjustRightInd w:val="0"/>
        <w:snapToGrid w:val="0"/>
        <w:spacing w:line="360" w:lineRule="auto"/>
        <w:ind w:firstLine="482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1</w:t>
      </w:r>
      <w:r>
        <w:rPr>
          <w:rFonts w:hint="eastAsia"/>
          <w:kern w:val="0"/>
          <w:sz w:val="24"/>
          <w:szCs w:val="24"/>
          <w:lang w:val="zh-CN"/>
        </w:rPr>
        <w:t>）模型结构形式限定为拉索桥（</w:t>
      </w:r>
      <w:r>
        <w:rPr>
          <w:rFonts w:hint="eastAsia"/>
          <w:kern w:val="0"/>
          <w:sz w:val="24"/>
          <w:szCs w:val="24"/>
        </w:rPr>
        <w:t>即</w:t>
      </w:r>
      <w:r>
        <w:rPr>
          <w:rFonts w:hint="eastAsia"/>
          <w:kern w:val="0"/>
          <w:sz w:val="24"/>
          <w:szCs w:val="24"/>
          <w:lang w:val="zh-CN"/>
        </w:rPr>
        <w:t>以拉索为主要承重构件的预应力桥梁结构体系），如斜拉桥、悬索桥等，具体索塔形式和拉索布置方式不限，</w:t>
      </w:r>
      <w:r>
        <w:rPr>
          <w:rFonts w:hint="eastAsia"/>
          <w:kern w:val="0"/>
          <w:sz w:val="24"/>
          <w:szCs w:val="24"/>
        </w:rPr>
        <w:t>但桥梁模型须体现拉索作为</w:t>
      </w:r>
      <w:r>
        <w:rPr>
          <w:rFonts w:hint="eastAsia"/>
          <w:kern w:val="0"/>
          <w:sz w:val="24"/>
          <w:szCs w:val="24"/>
          <w:lang w:val="zh-CN"/>
        </w:rPr>
        <w:t>主要承重构件。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2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2</w:t>
      </w:r>
      <w:r>
        <w:rPr>
          <w:rFonts w:hint="eastAsia"/>
          <w:kern w:val="0"/>
          <w:sz w:val="24"/>
          <w:szCs w:val="24"/>
          <w:lang w:val="zh-CN"/>
        </w:rPr>
        <w:t>）模型桥长为6</w:t>
      </w:r>
      <w:r>
        <w:rPr>
          <w:rFonts w:hint="eastAsia"/>
          <w:kern w:val="0"/>
          <w:sz w:val="24"/>
          <w:szCs w:val="24"/>
        </w:rPr>
        <w:t>00</w:t>
      </w:r>
      <w:r>
        <w:rPr>
          <w:rFonts w:hint="eastAsia"/>
          <w:kern w:val="0"/>
          <w:sz w:val="24"/>
          <w:szCs w:val="24"/>
          <w:lang w:val="zh-CN"/>
        </w:rPr>
        <w:t>+10</w:t>
      </w:r>
      <w:r>
        <w:rPr>
          <w:rFonts w:hint="eastAsia"/>
          <w:kern w:val="0"/>
          <w:sz w:val="24"/>
          <w:szCs w:val="24"/>
        </w:rPr>
        <w:t>00</w:t>
      </w:r>
      <w:r>
        <w:rPr>
          <w:rFonts w:hint="eastAsia"/>
          <w:kern w:val="0"/>
          <w:sz w:val="24"/>
          <w:szCs w:val="24"/>
          <w:lang w:val="zh-CN"/>
        </w:rPr>
        <w:t>=16</w:t>
      </w:r>
      <w:r>
        <w:rPr>
          <w:rFonts w:hint="eastAsia"/>
          <w:kern w:val="0"/>
          <w:sz w:val="24"/>
          <w:szCs w:val="24"/>
        </w:rPr>
        <w:t>00</w:t>
      </w:r>
      <w:r>
        <w:rPr>
          <w:rFonts w:hint="eastAsia"/>
          <w:kern w:val="0"/>
          <w:sz w:val="24"/>
          <w:szCs w:val="24"/>
          <w:lang w:val="zh-CN"/>
        </w:rPr>
        <w:t>mm（</w:t>
      </w:r>
      <w:r>
        <w:rPr>
          <w:rFonts w:hint="eastAsia"/>
          <w:kern w:val="0"/>
          <w:sz w:val="24"/>
          <w:szCs w:val="24"/>
        </w:rPr>
        <w:t>两边墩支座中心线间距离</w:t>
      </w:r>
      <w:r>
        <w:rPr>
          <w:rFonts w:hint="eastAsia"/>
          <w:kern w:val="0"/>
          <w:sz w:val="24"/>
          <w:szCs w:val="24"/>
          <w:lang w:val="zh-CN"/>
        </w:rPr>
        <w:t>），主跨1000mm（</w:t>
      </w:r>
      <w:r>
        <w:rPr>
          <w:rFonts w:hint="eastAsia"/>
          <w:kern w:val="0"/>
          <w:sz w:val="24"/>
          <w:szCs w:val="24"/>
        </w:rPr>
        <w:t>误差在+1</w:t>
      </w:r>
      <w:r>
        <w:rPr>
          <w:kern w:val="0"/>
          <w:sz w:val="24"/>
          <w:szCs w:val="24"/>
          <w:lang w:val="zh-CN"/>
        </w:rPr>
        <w:t>5mm</w:t>
      </w:r>
      <w:r>
        <w:rPr>
          <w:rFonts w:hint="eastAsia"/>
          <w:kern w:val="0"/>
          <w:sz w:val="24"/>
          <w:szCs w:val="24"/>
        </w:rPr>
        <w:t>内</w:t>
      </w:r>
      <w:r>
        <w:rPr>
          <w:rFonts w:hint="eastAsia"/>
          <w:kern w:val="0"/>
          <w:sz w:val="24"/>
          <w:szCs w:val="24"/>
          <w:lang w:val="zh-CN"/>
        </w:rPr>
        <w:t>），</w:t>
      </w:r>
      <w:r>
        <w:rPr>
          <w:rFonts w:hint="eastAsia"/>
          <w:kern w:val="0"/>
          <w:sz w:val="24"/>
          <w:szCs w:val="24"/>
        </w:rPr>
        <w:t>次</w:t>
      </w:r>
      <w:r>
        <w:rPr>
          <w:rFonts w:hint="eastAsia"/>
          <w:kern w:val="0"/>
          <w:sz w:val="24"/>
          <w:szCs w:val="24"/>
          <w:lang w:val="zh-CN"/>
        </w:rPr>
        <w:t>跨600mm（</w:t>
      </w:r>
      <w:r>
        <w:rPr>
          <w:rFonts w:hint="eastAsia"/>
          <w:kern w:val="0"/>
          <w:sz w:val="24"/>
          <w:szCs w:val="24"/>
        </w:rPr>
        <w:t>误差在+1</w:t>
      </w:r>
      <w:r>
        <w:rPr>
          <w:kern w:val="0"/>
          <w:sz w:val="24"/>
          <w:szCs w:val="24"/>
          <w:lang w:val="zh-CN"/>
        </w:rPr>
        <w:t>5mm</w:t>
      </w:r>
      <w:r>
        <w:rPr>
          <w:rFonts w:hint="eastAsia"/>
          <w:kern w:val="0"/>
          <w:sz w:val="24"/>
          <w:szCs w:val="24"/>
        </w:rPr>
        <w:t>内</w:t>
      </w:r>
      <w:r>
        <w:rPr>
          <w:rFonts w:hint="eastAsia"/>
          <w:kern w:val="0"/>
          <w:sz w:val="24"/>
          <w:szCs w:val="24"/>
          <w:lang w:val="zh-CN"/>
        </w:rPr>
        <w:t>），桥面宽为250mm（</w:t>
      </w:r>
      <w:r>
        <w:rPr>
          <w:rFonts w:hint="eastAsia"/>
          <w:kern w:val="0"/>
          <w:sz w:val="24"/>
          <w:szCs w:val="24"/>
        </w:rPr>
        <w:t>误差在</w:t>
      </w:r>
      <w:r>
        <w:rPr>
          <w:kern w:val="0"/>
          <w:position w:val="-4"/>
          <w:sz w:val="24"/>
          <w:szCs w:val="24"/>
          <w:lang w:val="zh-CN"/>
        </w:rPr>
        <w:object>
          <v:shape id="_x0000_i1025" o:spt="75" type="#_x0000_t75" style="height:12.25pt;width:10.8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f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kern w:val="0"/>
          <w:sz w:val="24"/>
          <w:szCs w:val="24"/>
          <w:lang w:val="zh-CN"/>
        </w:rPr>
        <w:t>5mm</w:t>
      </w:r>
      <w:r>
        <w:rPr>
          <w:rFonts w:hint="eastAsia"/>
          <w:kern w:val="0"/>
          <w:sz w:val="24"/>
          <w:szCs w:val="24"/>
        </w:rPr>
        <w:t>内</w:t>
      </w:r>
      <w:r>
        <w:rPr>
          <w:rFonts w:hint="eastAsia"/>
          <w:kern w:val="0"/>
          <w:sz w:val="24"/>
          <w:szCs w:val="24"/>
          <w:lang w:val="zh-CN"/>
        </w:rPr>
        <w:t>）</w:t>
      </w:r>
      <w:r>
        <w:rPr>
          <w:kern w:val="0"/>
          <w:sz w:val="24"/>
          <w:szCs w:val="24"/>
          <w:lang w:val="zh-CN"/>
        </w:rPr>
        <w:t>，</w:t>
      </w:r>
      <w:r>
        <w:rPr>
          <w:rFonts w:hint="eastAsia"/>
          <w:kern w:val="0"/>
          <w:sz w:val="24"/>
          <w:szCs w:val="24"/>
        </w:rPr>
        <w:t>桥面基准面以上控制在600mm范围内，桥面基准面以下控制在300mm范围内，桥梁的索塔投影面在1600mm*400mm范围内，在两边墩支座处需设置横梁，横梁长300mm</w:t>
      </w: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误差在+30</w:t>
      </w:r>
      <w:r>
        <w:rPr>
          <w:kern w:val="0"/>
          <w:sz w:val="24"/>
          <w:szCs w:val="24"/>
          <w:lang w:val="zh-CN"/>
        </w:rPr>
        <w:t>mm</w:t>
      </w:r>
      <w:r>
        <w:rPr>
          <w:rFonts w:hint="eastAsia"/>
          <w:kern w:val="0"/>
          <w:sz w:val="24"/>
          <w:szCs w:val="24"/>
        </w:rPr>
        <w:t>内</w:t>
      </w:r>
      <w:r>
        <w:rPr>
          <w:rFonts w:hint="eastAsia"/>
          <w:kern w:val="0"/>
          <w:sz w:val="24"/>
          <w:szCs w:val="24"/>
          <w:lang w:val="zh-CN"/>
        </w:rPr>
        <w:t>）。主墩和2个边墩支座的支承面标高详见图</w:t>
      </w:r>
      <w:r>
        <w:rPr>
          <w:rFonts w:hint="eastAsia"/>
          <w:kern w:val="0"/>
          <w:sz w:val="24"/>
          <w:szCs w:val="24"/>
        </w:rPr>
        <w:t>1</w:t>
      </w:r>
      <w:r>
        <w:rPr>
          <w:rFonts w:hint="eastAsia"/>
          <w:kern w:val="0"/>
          <w:sz w:val="24"/>
          <w:szCs w:val="24"/>
          <w:lang w:val="zh-CN"/>
        </w:rPr>
        <w:t>，其</w:t>
      </w:r>
      <w:r>
        <w:rPr>
          <w:rFonts w:hint="eastAsia"/>
          <w:kern w:val="0"/>
          <w:sz w:val="24"/>
          <w:szCs w:val="24"/>
        </w:rPr>
        <w:t>平面</w:t>
      </w:r>
      <w:r>
        <w:rPr>
          <w:rFonts w:hint="eastAsia"/>
          <w:kern w:val="0"/>
          <w:sz w:val="24"/>
          <w:szCs w:val="24"/>
          <w:lang w:val="zh-CN"/>
        </w:rPr>
        <w:t>尺寸分别为</w:t>
      </w:r>
      <w:r>
        <w:rPr>
          <w:rFonts w:hint="eastAsia"/>
          <w:kern w:val="0"/>
          <w:sz w:val="24"/>
          <w:szCs w:val="24"/>
        </w:rPr>
        <w:t>3</w:t>
      </w:r>
      <w:r>
        <w:rPr>
          <w:rFonts w:hint="eastAsia"/>
          <w:kern w:val="0"/>
          <w:sz w:val="24"/>
          <w:szCs w:val="24"/>
          <w:lang w:val="zh-CN"/>
        </w:rPr>
        <w:t>00</w:t>
      </w:r>
      <w:r>
        <w:rPr>
          <w:rFonts w:hint="eastAsia"/>
          <w:kern w:val="0"/>
          <w:sz w:val="24"/>
          <w:szCs w:val="24"/>
        </w:rPr>
        <w:t>mm</w:t>
      </w:r>
      <w:r>
        <w:rPr>
          <w:rFonts w:hint="eastAsia"/>
          <w:kern w:val="0"/>
          <w:sz w:val="24"/>
          <w:szCs w:val="24"/>
          <w:lang w:val="zh-CN"/>
        </w:rPr>
        <w:t>*300mm和30</w:t>
      </w:r>
      <w:r>
        <w:rPr>
          <w:rFonts w:hint="eastAsia"/>
          <w:kern w:val="0"/>
          <w:sz w:val="24"/>
          <w:szCs w:val="24"/>
        </w:rPr>
        <w:t>mm</w:t>
      </w:r>
      <w:r>
        <w:rPr>
          <w:rFonts w:hint="eastAsia"/>
          <w:kern w:val="0"/>
          <w:sz w:val="24"/>
          <w:szCs w:val="24"/>
          <w:lang w:val="zh-CN"/>
        </w:rPr>
        <w:t>*30mm</w:t>
      </w:r>
      <w:r>
        <w:rPr>
          <w:rFonts w:hint="eastAsia"/>
          <w:kern w:val="0"/>
          <w:sz w:val="24"/>
          <w:szCs w:val="24"/>
        </w:rPr>
        <w:t>范围内</w:t>
      </w:r>
      <w:r>
        <w:rPr>
          <w:rFonts w:hint="eastAsia"/>
          <w:kern w:val="0"/>
          <w:sz w:val="24"/>
          <w:szCs w:val="24"/>
          <w:lang w:val="zh-CN"/>
        </w:rPr>
        <w:t>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2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3</w:t>
      </w:r>
      <w:r>
        <w:rPr>
          <w:rFonts w:hint="eastAsia"/>
          <w:kern w:val="0"/>
          <w:sz w:val="24"/>
          <w:szCs w:val="24"/>
          <w:lang w:val="zh-CN"/>
        </w:rPr>
        <w:t>）桥面</w:t>
      </w:r>
      <w:r>
        <w:rPr>
          <w:rFonts w:hint="eastAsia"/>
          <w:kern w:val="0"/>
          <w:sz w:val="24"/>
          <w:szCs w:val="24"/>
        </w:rPr>
        <w:t>上铺设由组委会统一提供的</w:t>
      </w:r>
      <w:r>
        <w:rPr>
          <w:rFonts w:hint="eastAsia"/>
          <w:kern w:val="0"/>
          <w:sz w:val="24"/>
          <w:szCs w:val="24"/>
          <w:lang w:val="zh-CN"/>
        </w:rPr>
        <w:t>两个</w:t>
      </w:r>
      <w:r>
        <w:rPr>
          <w:rFonts w:hint="eastAsia"/>
          <w:kern w:val="0"/>
          <w:sz w:val="24"/>
          <w:szCs w:val="24"/>
        </w:rPr>
        <w:t>分开的</w:t>
      </w:r>
      <w:r>
        <w:rPr>
          <w:rFonts w:hint="eastAsia"/>
          <w:kern w:val="0"/>
          <w:sz w:val="24"/>
          <w:szCs w:val="24"/>
          <w:lang w:val="zh-CN"/>
        </w:rPr>
        <w:t>车道</w:t>
      </w:r>
      <w:r>
        <w:rPr>
          <w:rFonts w:hint="eastAsia"/>
          <w:kern w:val="0"/>
          <w:sz w:val="24"/>
          <w:szCs w:val="24"/>
        </w:rPr>
        <w:t>桥面板</w:t>
      </w:r>
      <w:r>
        <w:rPr>
          <w:rFonts w:hint="eastAsia"/>
          <w:kern w:val="0"/>
          <w:sz w:val="24"/>
          <w:szCs w:val="24"/>
          <w:lang w:val="zh-CN"/>
        </w:rPr>
        <w:t>，每个</w:t>
      </w:r>
      <w:r>
        <w:rPr>
          <w:rFonts w:hint="eastAsia"/>
          <w:kern w:val="0"/>
          <w:sz w:val="24"/>
          <w:szCs w:val="24"/>
        </w:rPr>
        <w:t>桥面板</w:t>
      </w:r>
      <w:r>
        <w:rPr>
          <w:rFonts w:hint="eastAsia"/>
          <w:kern w:val="0"/>
          <w:sz w:val="24"/>
          <w:szCs w:val="24"/>
          <w:lang w:val="zh-CN"/>
        </w:rPr>
        <w:t>宽100mm，</w:t>
      </w:r>
      <w:r>
        <w:rPr>
          <w:rFonts w:hint="eastAsia"/>
          <w:kern w:val="0"/>
          <w:sz w:val="24"/>
          <w:szCs w:val="24"/>
        </w:rPr>
        <w:t>中心线相距120mm（即桥面板内侧边缘线间留有20mm间隙）</w:t>
      </w:r>
      <w:r>
        <w:rPr>
          <w:rFonts w:hint="eastAsia"/>
          <w:kern w:val="0"/>
          <w:sz w:val="24"/>
          <w:szCs w:val="24"/>
          <w:lang w:val="zh-CN"/>
        </w:rPr>
        <w:t>。桥面基准面以上</w:t>
      </w:r>
      <w:r>
        <w:rPr>
          <w:rFonts w:hint="eastAsia"/>
          <w:kern w:val="0"/>
          <w:sz w:val="24"/>
          <w:szCs w:val="24"/>
        </w:rPr>
        <w:t>两条车道（牵引线）中轴线方向</w:t>
      </w:r>
      <w:r>
        <w:rPr>
          <w:rFonts w:hint="eastAsia"/>
          <w:kern w:val="0"/>
          <w:sz w:val="24"/>
          <w:szCs w:val="24"/>
          <w:lang w:val="zh-CN"/>
        </w:rPr>
        <w:t>须</w:t>
      </w:r>
      <w:r>
        <w:rPr>
          <w:rFonts w:hint="eastAsia"/>
          <w:kern w:val="0"/>
          <w:sz w:val="24"/>
          <w:szCs w:val="24"/>
        </w:rPr>
        <w:t>分别</w:t>
      </w:r>
      <w:r>
        <w:rPr>
          <w:rFonts w:hint="eastAsia"/>
          <w:kern w:val="0"/>
          <w:sz w:val="24"/>
          <w:szCs w:val="24"/>
          <w:lang w:val="zh-CN"/>
        </w:rPr>
        <w:t>确保净空</w:t>
      </w:r>
      <w:r>
        <w:rPr>
          <w:rFonts w:hint="eastAsia"/>
          <w:kern w:val="0"/>
          <w:sz w:val="24"/>
          <w:szCs w:val="24"/>
        </w:rPr>
        <w:t>200</w:t>
      </w:r>
      <w:r>
        <w:rPr>
          <w:rFonts w:hint="eastAsia"/>
          <w:kern w:val="0"/>
          <w:sz w:val="24"/>
          <w:szCs w:val="24"/>
          <w:lang w:val="zh-CN"/>
        </w:rPr>
        <w:t>mm（高）*</w:t>
      </w:r>
      <w:r>
        <w:rPr>
          <w:rFonts w:hint="eastAsia"/>
          <w:kern w:val="0"/>
          <w:sz w:val="24"/>
          <w:szCs w:val="24"/>
        </w:rPr>
        <w:t>10</w:t>
      </w:r>
      <w:r>
        <w:rPr>
          <w:rFonts w:hint="eastAsia"/>
          <w:kern w:val="0"/>
          <w:sz w:val="24"/>
          <w:szCs w:val="24"/>
          <w:lang w:val="zh-CN"/>
        </w:rPr>
        <w:t>0mm（宽）范围内不能有任何杆件。主墩支承面标高以上200mm范围内须确保通航净空，详见图</w:t>
      </w:r>
      <w:r>
        <w:rPr>
          <w:rFonts w:hint="eastAsia"/>
          <w:kern w:val="0"/>
          <w:sz w:val="24"/>
          <w:szCs w:val="24"/>
        </w:rPr>
        <w:t>1</w:t>
      </w:r>
      <w:r>
        <w:rPr>
          <w:rFonts w:hint="eastAsia"/>
          <w:kern w:val="0"/>
          <w:sz w:val="24"/>
          <w:szCs w:val="24"/>
          <w:lang w:val="zh-CN"/>
        </w:rPr>
        <w:t>立面图。</w:t>
      </w:r>
      <w:r>
        <w:rPr>
          <w:rFonts w:hint="eastAsia"/>
          <w:kern w:val="0"/>
          <w:sz w:val="24"/>
          <w:szCs w:val="24"/>
        </w:rPr>
        <w:t>小车行驶的行车面（即桥面板上）应在桥面基准面之上20mm范围内，且</w:t>
      </w:r>
      <w:r>
        <w:rPr>
          <w:rFonts w:hint="eastAsia"/>
          <w:kern w:val="0"/>
          <w:sz w:val="24"/>
          <w:szCs w:val="24"/>
          <w:lang w:val="zh-CN"/>
        </w:rPr>
        <w:t>桥面纵坡和横坡均限制在3%范围内。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2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</w:rPr>
        <w:t>（4）模型边界约束中，主墩底部须与统一提供的底板在支承面范围内刚性连接，边墩上的横梁端部直接放置在边支座支承面上，边支座支承面外侧有L形挡片，高20mm</w:t>
      </w:r>
      <w:r>
        <w:rPr>
          <w:rFonts w:hint="eastAsia"/>
          <w:kern w:val="0"/>
          <w:sz w:val="24"/>
          <w:szCs w:val="24"/>
          <w:lang w:val="zh-CN"/>
        </w:rPr>
        <w:t>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2"/>
        <w:rPr>
          <w:rFonts w:hAnsi="宋体"/>
        </w:rPr>
      </w:pP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5</w:t>
      </w:r>
      <w:r>
        <w:rPr>
          <w:rFonts w:hint="eastAsia"/>
          <w:kern w:val="0"/>
          <w:sz w:val="24"/>
          <w:szCs w:val="24"/>
          <w:lang w:val="zh-CN"/>
        </w:rPr>
        <w:t>）模型</w:t>
      </w:r>
      <w:r>
        <w:rPr>
          <w:rFonts w:hint="eastAsia"/>
          <w:kern w:val="0"/>
          <w:sz w:val="24"/>
          <w:szCs w:val="24"/>
        </w:rPr>
        <w:t>须满足上述尺寸要求，</w:t>
      </w:r>
      <w:r>
        <w:rPr>
          <w:rFonts w:hint="eastAsia"/>
          <w:kern w:val="0"/>
          <w:sz w:val="24"/>
          <w:szCs w:val="24"/>
          <w:lang w:val="zh-CN"/>
        </w:rPr>
        <w:t>确保</w:t>
      </w:r>
      <w:r>
        <w:rPr>
          <w:rFonts w:hint="eastAsia"/>
          <w:kern w:val="0"/>
          <w:sz w:val="24"/>
          <w:szCs w:val="24"/>
        </w:rPr>
        <w:t>在桥面基准面上行驶的小车的</w:t>
      </w:r>
      <w:r>
        <w:rPr>
          <w:rFonts w:hint="eastAsia"/>
          <w:kern w:val="0"/>
          <w:sz w:val="24"/>
          <w:szCs w:val="24"/>
          <w:lang w:val="zh-CN"/>
        </w:rPr>
        <w:t>牵引线</w:t>
      </w:r>
      <w:r>
        <w:rPr>
          <w:rFonts w:hint="eastAsia"/>
          <w:kern w:val="0"/>
          <w:sz w:val="24"/>
          <w:szCs w:val="24"/>
        </w:rPr>
        <w:t>保持</w:t>
      </w:r>
      <w:r>
        <w:rPr>
          <w:rFonts w:hint="eastAsia"/>
          <w:kern w:val="0"/>
          <w:sz w:val="24"/>
          <w:szCs w:val="24"/>
          <w:lang w:val="zh-CN"/>
        </w:rPr>
        <w:t>水平，</w:t>
      </w:r>
      <w:r>
        <w:rPr>
          <w:rFonts w:hint="eastAsia"/>
          <w:kern w:val="0"/>
          <w:sz w:val="24"/>
          <w:szCs w:val="24"/>
        </w:rPr>
        <w:t>让小车</w:t>
      </w:r>
      <w:r>
        <w:rPr>
          <w:rFonts w:hint="eastAsia"/>
          <w:kern w:val="0"/>
          <w:sz w:val="24"/>
          <w:szCs w:val="24"/>
          <w:lang w:val="zh-CN"/>
        </w:rPr>
        <w:t>可以顺利通行。</w:t>
      </w:r>
    </w:p>
    <w:p>
      <w:pPr>
        <w:jc w:val="center"/>
        <w:rPr>
          <w:rFonts w:eastAsia="黑体"/>
        </w:rPr>
      </w:pPr>
      <w:r>
        <w:rPr>
          <w:rFonts w:eastAsia="黑体"/>
        </w:rPr>
        <w:object>
          <v:shape id="_x0000_i1026" o:spt="75" type="#_x0000_t75" style="height:319.25pt;width:402.8pt;" o:ole="t" filled="f" o:preferrelative="t" stroked="f" coordsize="21600,21600">
            <v:path/>
            <v:fill on="f" focussize="0,0"/>
            <v:stroke on="f" joinstyle="miter"/>
            <v:imagedata r:id="rId7" croptop="-804f" cropright="2613f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6">
            <o:LockedField>false</o:LockedField>
          </o:OLEObject>
        </w:object>
      </w:r>
    </w:p>
    <w:p>
      <w:pPr>
        <w:jc w:val="center"/>
        <w:rPr>
          <w:rFonts w:eastAsia="黑体"/>
        </w:rPr>
      </w:pPr>
      <w:r>
        <w:rPr>
          <w:rFonts w:eastAsia="黑体"/>
        </w:rPr>
        <w:t>图</w:t>
      </w:r>
      <w:r>
        <w:rPr>
          <w:rFonts w:hint="eastAsia" w:eastAsia="黑体"/>
        </w:rPr>
        <w:t>1</w:t>
      </w:r>
      <w:r>
        <w:rPr>
          <w:rFonts w:eastAsia="黑体"/>
        </w:rPr>
        <w:t xml:space="preserve">  模型尺寸范围</w:t>
      </w:r>
      <w:r>
        <w:rPr>
          <w:rFonts w:hint="eastAsia" w:eastAsia="黑体"/>
        </w:rPr>
        <w:t>示意图</w:t>
      </w:r>
      <w:r>
        <w:rPr>
          <w:rFonts w:eastAsia="黑体"/>
        </w:rPr>
        <w:t>（</w:t>
      </w:r>
      <w:r>
        <w:rPr>
          <w:rFonts w:hint="eastAsia" w:eastAsia="黑体"/>
        </w:rPr>
        <w:t>标高单位：m；其他</w:t>
      </w:r>
      <w:r>
        <w:rPr>
          <w:rFonts w:eastAsia="黑体"/>
        </w:rPr>
        <w:t>单位：mm）</w:t>
      </w:r>
    </w:p>
    <w:p>
      <w:pPr>
        <w:adjustRightInd w:val="0"/>
        <w:snapToGrid w:val="0"/>
        <w:spacing w:beforeLines="50" w:afterLines="50" w:line="360" w:lineRule="exact"/>
        <w:ind w:firstLine="482" w:firstLineChars="200"/>
        <w:rPr>
          <w:rFonts w:eastAsia="黑体"/>
          <w:b/>
          <w:bCs/>
          <w:kern w:val="0"/>
          <w:sz w:val="24"/>
          <w:szCs w:val="24"/>
          <w:lang w:val="zh-CN"/>
        </w:rPr>
      </w:pPr>
      <w:r>
        <w:rPr>
          <w:rFonts w:eastAsia="黑体"/>
          <w:b/>
          <w:bCs/>
          <w:kern w:val="0"/>
          <w:sz w:val="24"/>
          <w:szCs w:val="24"/>
        </w:rPr>
        <w:t>2.</w:t>
      </w:r>
      <w:r>
        <w:rPr>
          <w:rFonts w:eastAsia="黑体"/>
          <w:b/>
          <w:bCs/>
          <w:kern w:val="0"/>
          <w:sz w:val="24"/>
          <w:szCs w:val="24"/>
          <w:lang w:val="zh-CN"/>
        </w:rPr>
        <w:t>加载系统</w:t>
      </w:r>
    </w:p>
    <w:p>
      <w:pPr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加载系统包括模型承台及1块底板、2块车道桥面板、2辆移动小车、9块砝码、1个重锤和1个配套弹簧，三维轴测示意图见图2。</w:t>
      </w:r>
    </w:p>
    <w:p>
      <w:pPr>
        <w:spacing w:line="360" w:lineRule="auto"/>
        <w:ind w:firstLine="482"/>
        <w:rPr>
          <w:sz w:val="24"/>
          <w:szCs w:val="24"/>
        </w:rPr>
      </w:pPr>
      <w:r>
        <w:rPr>
          <w:b/>
          <w:bCs/>
          <w:sz w:val="24"/>
          <w:szCs w:val="24"/>
        </w:rPr>
        <w:t>（1）模型承台和底板：</w:t>
      </w:r>
      <w:r>
        <w:rPr>
          <w:sz w:val="24"/>
          <w:szCs w:val="24"/>
        </w:rPr>
        <w:t>根据模型尺寸和加载要求，提供模型承台（配有小车自动同步牵引装置）和一块竹底板，底板尺寸为400*400*15mm，底板和承台通过四个角落的卡扣连接。承台尺寸如图3所示。</w:t>
      </w:r>
    </w:p>
    <w:p>
      <w:pPr>
        <w:spacing w:line="360" w:lineRule="auto"/>
        <w:ind w:firstLine="482"/>
        <w:rPr>
          <w:sz w:val="24"/>
          <w:szCs w:val="24"/>
        </w:rPr>
      </w:pPr>
      <w:r>
        <w:rPr>
          <w:b/>
          <w:bCs/>
          <w:sz w:val="24"/>
          <w:szCs w:val="24"/>
        </w:rPr>
        <w:t>（2）车道桥面板：</w:t>
      </w:r>
      <w:r>
        <w:rPr>
          <w:sz w:val="24"/>
          <w:szCs w:val="24"/>
        </w:rPr>
        <w:t>提供2块车道桥面板，每块桥面板自重约1.15kg。桥面板是由分节段的钢片和纸胶带粘在一起；桥面板上设有两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障碍物，位于主跨和次跨跨中，</w:t>
      </w:r>
      <w:r>
        <w:rPr>
          <w:rFonts w:hint="eastAsia"/>
          <w:sz w:val="24"/>
          <w:szCs w:val="24"/>
        </w:rPr>
        <w:t>其中一块桥面板上障碍物的上坡方向从主跨指向次跨（桥面板1），另一块反向（桥面板2），使得两辆相向</w:t>
      </w:r>
      <w:r>
        <w:rPr>
          <w:sz w:val="24"/>
          <w:szCs w:val="24"/>
        </w:rPr>
        <w:t>移动小车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行驶中产生竖向振动荷载。桥面板厚度在1mm左右，其他尺寸如图4所示。</w:t>
      </w:r>
    </w:p>
    <w:p>
      <w:pPr>
        <w:spacing w:line="360" w:lineRule="auto"/>
        <w:ind w:firstLine="482"/>
        <w:rPr>
          <w:sz w:val="24"/>
          <w:szCs w:val="24"/>
        </w:rPr>
      </w:pPr>
      <w:r>
        <w:rPr>
          <w:b/>
          <w:bCs/>
          <w:sz w:val="24"/>
          <w:szCs w:val="24"/>
        </w:rPr>
        <w:t>（3）移动小车、砝码和牵引装置：</w:t>
      </w:r>
      <w:r>
        <w:rPr>
          <w:sz w:val="24"/>
          <w:szCs w:val="24"/>
        </w:rPr>
        <w:t>提供2辆移动小车，每辆重约0.60kg，尺寸如图5所示，车体底面距离桥面</w:t>
      </w:r>
      <w:r>
        <w:rPr>
          <w:rFonts w:hint="eastAsia"/>
          <w:sz w:val="24"/>
          <w:szCs w:val="24"/>
        </w:rPr>
        <w:t>为</w:t>
      </w:r>
      <w:r>
        <w:rPr>
          <w:sz w:val="24"/>
          <w:szCs w:val="24"/>
        </w:rPr>
        <w:t>25mm。提供9个标准圆柱体加载砝码，每个砝码直径90mm，高度20mm，每块重量约1kg。</w:t>
      </w:r>
    </w:p>
    <w:p>
      <w:pPr>
        <w:spacing w:line="360" w:lineRule="auto"/>
        <w:ind w:firstLine="482" w:firstLineChars="200"/>
        <w:rPr>
          <w:sz w:val="24"/>
          <w:szCs w:val="24"/>
        </w:rPr>
      </w:pPr>
      <w:r>
        <w:rPr>
          <w:b/>
          <w:bCs/>
          <w:sz w:val="24"/>
          <w:szCs w:val="24"/>
        </w:rPr>
        <w:t>（4）重锤和弹簧装置</w:t>
      </w:r>
      <w:r>
        <w:rPr>
          <w:sz w:val="24"/>
          <w:szCs w:val="24"/>
        </w:rPr>
        <w:t>：提供1个2kg的重锤和1根配套的弹簧，弹簧劲度系数约为</w:t>
      </w:r>
      <w:r>
        <w:rPr>
          <w:rFonts w:hint="eastAsia"/>
          <w:sz w:val="24"/>
          <w:szCs w:val="24"/>
        </w:rPr>
        <w:t>8</w:t>
      </w:r>
      <w:r>
        <w:rPr>
          <w:sz w:val="24"/>
          <w:szCs w:val="24"/>
        </w:rPr>
        <w:t>N/cm，该装置悬挂在专家指定位置。在弹簧下方的挂钩和卡扣之间绑扎两根</w:t>
      </w:r>
      <w:r>
        <w:rPr>
          <w:rFonts w:hint="eastAsia"/>
          <w:sz w:val="24"/>
          <w:szCs w:val="24"/>
        </w:rPr>
        <w:t>细绳，分别为50mm和150mm，其中50mm的绳子（细绳1）在加载中需要剪断，剪断后重锤自由下落，由150mm的绳子（细绳2）拉住，重锤和弹簧共同作用，模拟风力作用下引起桥梁结构的竖向振动，产生桥梁的结构“颤振”。为防止弹簧多次振动，参数发生改变，弹簧、卡扣和细绳不重复使用，由主办方统一提供，重锤重复使用。如图6所示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85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drawing>
                <wp:inline distT="0" distB="0" distL="114300" distR="114300">
                  <wp:extent cx="3592830" cy="2618740"/>
                  <wp:effectExtent l="0" t="0" r="7620" b="10160"/>
                  <wp:docPr id="1" name="图片 3" descr="ed920e0ab76e6a5c51372231b8403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ed920e0ab76e6a5c51372231b8403e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t="178" r="3900" b="4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30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图2  加载装置三维轴测示意图（单位：mm）</w:t>
            </w:r>
          </w:p>
        </w:tc>
      </w:tr>
    </w:tbl>
    <w:p>
      <w:pPr>
        <w:jc w:val="center"/>
        <w:rPr>
          <w:rFonts w:eastAsia="黑体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4"/>
        <w:gridCol w:w="2640"/>
        <w:gridCol w:w="2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center"/>
              <w:rPr>
                <w:rFonts w:eastAsia="黑体"/>
              </w:rPr>
            </w:pPr>
            <w:r>
              <w:drawing>
                <wp:inline distT="0" distB="0" distL="114300" distR="114300">
                  <wp:extent cx="2360930" cy="1082675"/>
                  <wp:effectExtent l="0" t="0" r="1270" b="3175"/>
                  <wp:docPr id="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2187" t="16652" r="9422" b="1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center"/>
              <w:rPr>
                <w:rFonts w:eastAsia="黑体"/>
              </w:rPr>
            </w:pPr>
            <w:r>
              <w:drawing>
                <wp:inline distT="0" distB="0" distL="114300" distR="114300">
                  <wp:extent cx="1370965" cy="1078230"/>
                  <wp:effectExtent l="0" t="0" r="635" b="7620"/>
                  <wp:docPr id="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6255" t="17183" r="7808" b="13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center"/>
            </w:pPr>
            <w:r>
              <w:object>
                <v:shape id="_x0000_i1027" o:spt="75" type="#_x0000_t75" style="height:104.6pt;width:108pt;" o:ole="t" filled="f" o:preferrelative="t" stroked="f" coordsize="21600,21600">
                  <v:path/>
                  <v:fill on="f" focussize="0,0"/>
                  <v:stroke on="f" joinstyle="miter"/>
                  <v:imagedata r:id="rId12" cropleft="4269f" cropbottom="6613f" o:title=""/>
                  <o:lock v:ext="edit" aspectratio="f"/>
                  <w10:wrap type="none"/>
                  <w10:anchorlock/>
                </v:shape>
                <o:OLEObject Type="Embed" ProgID="Visio.Drawing.15" ShapeID="_x0000_i1027" DrawAspect="Content" ObjectID="_1468075727" r:id="rId1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（a）立面图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 xml:space="preserve"> （b）平面图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 xml:space="preserve"> （c）竹底板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图3  设备尺寸图（单位：mm）</w:t>
            </w:r>
          </w:p>
        </w:tc>
      </w:tr>
    </w:tbl>
    <w:p>
      <w:pPr>
        <w:jc w:val="center"/>
        <w:rPr>
          <w:rFonts w:eastAsia="黑体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object>
                <v:shape id="_x0000_i1028" o:spt="75" type="#_x0000_t75" style="height:162.35pt;width:404.8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f"/>
                  <w10:wrap type="none"/>
                  <w10:anchorlock/>
                </v:shape>
                <o:OLEObject Type="Embed" ProgID="Visio.Drawing.15" ShapeID="_x0000_i1028" DrawAspect="Content" ObjectID="_1468075728" r:id="rId13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480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图4  桥面板示意图（单位：mm）</w:t>
            </w:r>
          </w:p>
        </w:tc>
      </w:tr>
    </w:tbl>
    <w:p>
      <w:pPr>
        <w:jc w:val="center"/>
        <w:rPr>
          <w:rFonts w:eastAsia="黑体"/>
          <w:b/>
          <w:bCs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816100" cy="1729740"/>
                  <wp:effectExtent l="0" t="0" r="12700" b="3810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2205355" cy="941705"/>
                  <wp:effectExtent l="0" t="0" r="4445" b="10795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（a）立面图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 xml:space="preserve"> （b）平面图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图5  小车尺寸图（单位：mm）</w:t>
            </w:r>
          </w:p>
        </w:tc>
      </w:tr>
    </w:tbl>
    <w:p>
      <w:pPr>
        <w:jc w:val="center"/>
        <w:rPr>
          <w:rFonts w:eastAsia="黑体"/>
          <w:b/>
          <w:bCs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2" w:hRule="atLeast"/>
        </w:trPr>
        <w:tc>
          <w:tcPr>
            <w:tcW w:w="85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eastAsia="黑体"/>
                <w:b/>
                <w:bCs/>
              </w:rPr>
              <w:object>
                <v:shape id="_x0000_i1029" o:spt="75" type="#_x0000_t75" style="height:163pt;width:190.2pt;" o:ole="t" filled="f" o:preferrelative="t" stroked="f" coordsize="21600,21600">
                  <v:path/>
                  <v:fill on="f" focussize="0,0"/>
                  <v:stroke on="f" joinstyle="miter"/>
                  <v:imagedata r:id="rId18" cropleft="5710f" croptop="-737f" cropright="7424f" cropbottom="1401f" o:title=""/>
                  <o:lock v:ext="edit" aspectratio="f"/>
                  <w10:wrap type="none"/>
                  <w10:anchorlock/>
                </v:shape>
                <o:OLEObject Type="Embed" ProgID="Visio.Drawing.15" ShapeID="_x0000_i1029" DrawAspect="Content" ObjectID="_1468075729" r:id="rId1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图6  重锤和弹簧装置</w:t>
            </w:r>
          </w:p>
        </w:tc>
      </w:tr>
    </w:tbl>
    <w:p>
      <w:pPr>
        <w:adjustRightInd w:val="0"/>
        <w:snapToGrid w:val="0"/>
        <w:spacing w:beforeLines="50" w:afterLines="50" w:line="360" w:lineRule="exact"/>
        <w:ind w:firstLine="482" w:firstLineChars="200"/>
        <w:rPr>
          <w:rFonts w:eastAsia="黑体"/>
          <w:b/>
          <w:bCs/>
          <w:color w:val="000000"/>
          <w:sz w:val="24"/>
          <w:szCs w:val="24"/>
        </w:rPr>
      </w:pPr>
      <w:r>
        <w:rPr>
          <w:rFonts w:hint="eastAsia" w:eastAsia="黑体"/>
          <w:b/>
          <w:bCs/>
          <w:color w:val="000000"/>
          <w:sz w:val="24"/>
          <w:szCs w:val="24"/>
        </w:rPr>
        <w:t>3.模型制作要求以及材料和工具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  <w:lang w:val="zh-CN"/>
        </w:rPr>
        <w:t>模型制作时间为9小时。模型结构的所有构件、连接部件均采用给定材料手工制作完成。材料、</w:t>
      </w:r>
      <w:r>
        <w:rPr>
          <w:rFonts w:hint="eastAsia"/>
          <w:kern w:val="0"/>
          <w:sz w:val="24"/>
          <w:szCs w:val="24"/>
        </w:rPr>
        <w:t>竹</w:t>
      </w:r>
      <w:r>
        <w:rPr>
          <w:rFonts w:hint="eastAsia"/>
          <w:kern w:val="0"/>
          <w:sz w:val="24"/>
          <w:szCs w:val="24"/>
          <w:lang w:val="zh-CN"/>
        </w:rPr>
        <w:t>底板</w:t>
      </w:r>
      <w:r>
        <w:rPr>
          <w:rFonts w:hint="eastAsia"/>
          <w:kern w:val="0"/>
          <w:sz w:val="24"/>
          <w:szCs w:val="24"/>
        </w:rPr>
        <w:t>和</w:t>
      </w:r>
      <w:r>
        <w:rPr>
          <w:rFonts w:hint="eastAsia"/>
          <w:kern w:val="0"/>
          <w:sz w:val="24"/>
          <w:szCs w:val="24"/>
          <w:lang w:val="zh-CN"/>
        </w:rPr>
        <w:t>制作工具由竞赛主办方统一提供（可自带小型电子秤一台，现场不提供电源）。</w:t>
      </w:r>
      <w:r>
        <w:rPr>
          <w:rFonts w:hint="eastAsia"/>
          <w:kern w:val="0"/>
          <w:sz w:val="24"/>
          <w:szCs w:val="24"/>
        </w:rPr>
        <w:t>统一提供的竹底板、材料和制作工具：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（1）竹底板1块，其</w:t>
      </w:r>
      <w:r>
        <w:rPr>
          <w:rFonts w:hint="eastAsia"/>
          <w:kern w:val="0"/>
          <w:sz w:val="24"/>
          <w:szCs w:val="24"/>
          <w:lang w:val="zh-CN"/>
        </w:rPr>
        <w:t>显著位置标注自重，各参赛队不得对底板进行任何使重量改变的操作，如挖空、削皮、洒水等，否则视为违规。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2</w:t>
      </w:r>
      <w:r>
        <w:rPr>
          <w:rFonts w:hint="eastAsia"/>
          <w:kern w:val="0"/>
          <w:sz w:val="24"/>
          <w:szCs w:val="24"/>
          <w:lang w:val="zh-CN"/>
        </w:rPr>
        <w:t>）集成竹杆材，规格</w:t>
      </w:r>
      <w:r>
        <w:rPr>
          <w:rFonts w:hint="eastAsia"/>
          <w:kern w:val="0"/>
          <w:sz w:val="24"/>
          <w:szCs w:val="24"/>
        </w:rPr>
        <w:t>和力学指标见表1和表2。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3</w:t>
      </w:r>
      <w:r>
        <w:rPr>
          <w:rFonts w:hint="eastAsia"/>
          <w:kern w:val="0"/>
          <w:sz w:val="24"/>
          <w:szCs w:val="24"/>
          <w:lang w:val="zh-CN"/>
        </w:rPr>
        <w:t>）502胶水（</w:t>
      </w:r>
      <w:r>
        <w:rPr>
          <w:rFonts w:hint="eastAsia"/>
          <w:kern w:val="0"/>
          <w:sz w:val="24"/>
          <w:szCs w:val="24"/>
        </w:rPr>
        <w:t>30g装</w:t>
      </w:r>
      <w:r>
        <w:rPr>
          <w:rFonts w:hint="eastAsia"/>
          <w:kern w:val="0"/>
          <w:sz w:val="24"/>
          <w:szCs w:val="24"/>
          <w:lang w:val="zh-CN"/>
        </w:rPr>
        <w:t>）</w:t>
      </w:r>
      <w:r>
        <w:rPr>
          <w:rFonts w:hint="eastAsia"/>
          <w:kern w:val="0"/>
          <w:sz w:val="24"/>
          <w:szCs w:val="24"/>
        </w:rPr>
        <w:t>8瓶</w:t>
      </w:r>
      <w:r>
        <w:rPr>
          <w:rFonts w:hint="eastAsia"/>
          <w:kern w:val="0"/>
          <w:sz w:val="24"/>
          <w:szCs w:val="24"/>
          <w:lang w:val="zh-CN"/>
        </w:rPr>
        <w:t>，</w:t>
      </w:r>
      <w:r>
        <w:rPr>
          <w:rFonts w:hint="eastAsia"/>
          <w:kern w:val="0"/>
          <w:sz w:val="24"/>
          <w:szCs w:val="24"/>
        </w:rPr>
        <w:t>用于结构构件之间的粘结。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4</w:t>
      </w:r>
      <w:r>
        <w:rPr>
          <w:rFonts w:hint="eastAsia"/>
          <w:kern w:val="0"/>
          <w:sz w:val="24"/>
          <w:szCs w:val="24"/>
          <w:lang w:val="zh-CN"/>
        </w:rPr>
        <w:t>）</w:t>
      </w:r>
      <w:r>
        <w:rPr>
          <w:rFonts w:hint="eastAsia"/>
          <w:kern w:val="0"/>
          <w:sz w:val="24"/>
          <w:szCs w:val="24"/>
        </w:rPr>
        <w:t>棉蜡线3卷（1卷68m，54.8g），单股直径约1.1mm，单股抗拉承载力约68N，弹性模量约18.5MPa，棉蜡线用于模型制作。</w:t>
      </w:r>
    </w:p>
    <w:p>
      <w:pPr>
        <w:autoSpaceDE w:val="0"/>
        <w:autoSpaceDN w:val="0"/>
        <w:adjustRightInd w:val="0"/>
        <w:snapToGrid w:val="0"/>
        <w:spacing w:line="360" w:lineRule="auto"/>
        <w:ind w:left="479" w:leftChars="228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（</w:t>
      </w:r>
      <w:r>
        <w:rPr>
          <w:rFonts w:hint="eastAsia"/>
          <w:kern w:val="0"/>
          <w:sz w:val="24"/>
          <w:szCs w:val="24"/>
        </w:rPr>
        <w:t>5</w:t>
      </w:r>
      <w:r>
        <w:rPr>
          <w:rFonts w:hint="eastAsia"/>
          <w:kern w:val="0"/>
          <w:sz w:val="24"/>
          <w:szCs w:val="24"/>
          <w:lang w:val="zh-CN"/>
        </w:rPr>
        <w:t>）制作工具：尺子、简单刀具、砂纸、剪刀、手套、橡皮、笔、纸、护目镜。</w:t>
      </w:r>
    </w:p>
    <w:p>
      <w:pPr>
        <w:spacing w:beforeLines="50"/>
        <w:jc w:val="center"/>
        <w:rPr>
          <w:rFonts w:eastAsia="黑体"/>
          <w:sz w:val="24"/>
          <w:szCs w:val="24"/>
        </w:rPr>
      </w:pPr>
      <w:r>
        <w:rPr>
          <w:rFonts w:hint="eastAsia" w:eastAsia="黑体"/>
          <w:sz w:val="24"/>
          <w:szCs w:val="24"/>
        </w:rPr>
        <w:t>表1 竹杆材规格及用量</w:t>
      </w:r>
    </w:p>
    <w:tbl>
      <w:tblPr>
        <w:tblStyle w:val="6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3811"/>
        <w:gridCol w:w="1970"/>
        <w:gridCol w:w="1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47" w:type="pct"/>
            <w:gridSpan w:val="2"/>
            <w:vAlign w:val="center"/>
          </w:tcPr>
          <w:p>
            <w:pPr>
              <w:pStyle w:val="10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竹材规格</w:t>
            </w:r>
          </w:p>
        </w:tc>
        <w:tc>
          <w:tcPr>
            <w:tcW w:w="1156" w:type="pct"/>
            <w:vAlign w:val="center"/>
          </w:tcPr>
          <w:p>
            <w:pPr>
              <w:pStyle w:val="10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竹材名称</w:t>
            </w:r>
          </w:p>
        </w:tc>
        <w:tc>
          <w:tcPr>
            <w:tcW w:w="996" w:type="pct"/>
            <w:vAlign w:val="center"/>
          </w:tcPr>
          <w:p>
            <w:pPr>
              <w:pStyle w:val="10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用量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11" w:type="pct"/>
            <w:vMerge w:val="restar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竹杆件</w:t>
            </w:r>
          </w:p>
        </w:tc>
        <w:tc>
          <w:tcPr>
            <w:tcW w:w="2235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930mm×6mm×1.0mm</w:t>
            </w:r>
          </w:p>
        </w:tc>
        <w:tc>
          <w:tcPr>
            <w:tcW w:w="1156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集成竹材</w:t>
            </w:r>
          </w:p>
        </w:tc>
        <w:tc>
          <w:tcPr>
            <w:tcW w:w="996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30根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11" w:type="pct"/>
            <w:vMerge w:val="continue"/>
            <w:vAlign w:val="center"/>
          </w:tcPr>
          <w:p>
            <w:pPr>
              <w:pStyle w:val="10"/>
              <w:rPr>
                <w:rFonts w:hint="default"/>
              </w:rPr>
            </w:pPr>
          </w:p>
        </w:tc>
        <w:tc>
          <w:tcPr>
            <w:tcW w:w="2235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930mm×2mm×2.0 mm</w:t>
            </w:r>
          </w:p>
        </w:tc>
        <w:tc>
          <w:tcPr>
            <w:tcW w:w="1156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集成竹材</w:t>
            </w:r>
          </w:p>
        </w:tc>
        <w:tc>
          <w:tcPr>
            <w:tcW w:w="996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30根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11" w:type="pct"/>
            <w:vMerge w:val="continue"/>
            <w:vAlign w:val="center"/>
          </w:tcPr>
          <w:p>
            <w:pPr>
              <w:pStyle w:val="10"/>
              <w:rPr>
                <w:rFonts w:hint="default"/>
              </w:rPr>
            </w:pPr>
          </w:p>
        </w:tc>
        <w:tc>
          <w:tcPr>
            <w:tcW w:w="2235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930mm×3mm×3.0mm</w:t>
            </w:r>
          </w:p>
        </w:tc>
        <w:tc>
          <w:tcPr>
            <w:tcW w:w="1156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集成竹材</w:t>
            </w:r>
          </w:p>
        </w:tc>
        <w:tc>
          <w:tcPr>
            <w:tcW w:w="996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30根</w:t>
            </w:r>
          </w:p>
        </w:tc>
      </w:tr>
    </w:tbl>
    <w:p>
      <w:pPr>
        <w:spacing w:beforeLines="50"/>
        <w:jc w:val="center"/>
        <w:rPr>
          <w:rFonts w:eastAsia="黑体"/>
          <w:sz w:val="24"/>
          <w:szCs w:val="24"/>
        </w:rPr>
      </w:pPr>
      <w:r>
        <w:rPr>
          <w:rFonts w:hint="eastAsia" w:eastAsia="黑体"/>
          <w:sz w:val="24"/>
          <w:szCs w:val="24"/>
        </w:rPr>
        <w:t>表2 竹杆材力学指标（参考值）</w:t>
      </w:r>
    </w:p>
    <w:tbl>
      <w:tblPr>
        <w:tblStyle w:val="6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0"/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49" w:type="pct"/>
            <w:vAlign w:val="center"/>
          </w:tcPr>
          <w:p>
            <w:pPr>
              <w:pStyle w:val="10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密度</w:t>
            </w:r>
          </w:p>
        </w:tc>
        <w:tc>
          <w:tcPr>
            <w:tcW w:w="1250" w:type="pct"/>
            <w:vAlign w:val="center"/>
          </w:tcPr>
          <w:p>
            <w:pPr>
              <w:pStyle w:val="10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顺纹抗拉强度</w:t>
            </w:r>
          </w:p>
        </w:tc>
        <w:tc>
          <w:tcPr>
            <w:tcW w:w="1250" w:type="pct"/>
            <w:vAlign w:val="center"/>
          </w:tcPr>
          <w:p>
            <w:pPr>
              <w:pStyle w:val="10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抗压强度</w:t>
            </w:r>
          </w:p>
        </w:tc>
        <w:tc>
          <w:tcPr>
            <w:tcW w:w="1250" w:type="pct"/>
            <w:vAlign w:val="center"/>
          </w:tcPr>
          <w:p>
            <w:pPr>
              <w:pStyle w:val="10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弹性模量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49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0.8 g/cm3</w:t>
            </w:r>
          </w:p>
        </w:tc>
        <w:tc>
          <w:tcPr>
            <w:tcW w:w="1250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60 MPa</w:t>
            </w:r>
          </w:p>
        </w:tc>
        <w:tc>
          <w:tcPr>
            <w:tcW w:w="1250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30 MPa</w:t>
            </w:r>
          </w:p>
        </w:tc>
        <w:tc>
          <w:tcPr>
            <w:tcW w:w="1250" w:type="pct"/>
            <w:vAlign w:val="center"/>
          </w:tcPr>
          <w:p>
            <w:pPr>
              <w:pStyle w:val="10"/>
              <w:rPr>
                <w:rFonts w:hint="default"/>
              </w:rPr>
            </w:pPr>
            <w:r>
              <w:t>6 GPa</w:t>
            </w:r>
          </w:p>
        </w:tc>
      </w:tr>
    </w:tbl>
    <w:p>
      <w:pPr>
        <w:jc w:val="center"/>
        <w:rPr>
          <w:rFonts w:eastAsia="黑体"/>
        </w:rPr>
      </w:pPr>
    </w:p>
    <w:p>
      <w:pPr>
        <w:spacing w:line="300" w:lineRule="auto"/>
        <w:ind w:left="-2" w:firstLine="480" w:firstLineChars="200"/>
        <w:jc w:val="left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随身物品在入口处寄存，模型制作和加载期间，不允许携带除图纸外的任何模型制作物品入场。</w:t>
      </w:r>
      <w:r>
        <w:rPr>
          <w:rFonts w:hint="eastAsia" w:ascii="宋体" w:hAnsi="宋体"/>
          <w:sz w:val="24"/>
          <w:szCs w:val="24"/>
        </w:rPr>
        <w:t>参赛队可自</w:t>
      </w:r>
      <w:r>
        <w:rPr>
          <w:sz w:val="24"/>
          <w:szCs w:val="24"/>
        </w:rPr>
        <w:t>带设计详图图纸一张（图纸大小不得超过普通A2图</w:t>
      </w:r>
      <w:r>
        <w:rPr>
          <w:rFonts w:hint="eastAsia" w:ascii="宋体" w:hAnsi="宋体"/>
          <w:sz w:val="24"/>
          <w:szCs w:val="24"/>
        </w:rPr>
        <w:t>纸规格）</w:t>
      </w:r>
    </w:p>
    <w:p>
      <w:pPr>
        <w:adjustRightInd w:val="0"/>
        <w:snapToGrid w:val="0"/>
        <w:spacing w:beforeLines="50" w:afterLines="50" w:line="360" w:lineRule="exact"/>
        <w:ind w:firstLine="482" w:firstLineChars="200"/>
        <w:rPr>
          <w:rFonts w:eastAsia="黑体"/>
          <w:b/>
          <w:bCs/>
          <w:color w:val="000000"/>
          <w:sz w:val="24"/>
          <w:szCs w:val="24"/>
        </w:rPr>
      </w:pPr>
      <w:r>
        <w:rPr>
          <w:rFonts w:hint="eastAsia" w:eastAsia="黑体"/>
          <w:b/>
          <w:bCs/>
          <w:color w:val="000000"/>
          <w:sz w:val="24"/>
          <w:szCs w:val="24"/>
        </w:rPr>
        <w:t>4.加载测试</w:t>
      </w:r>
    </w:p>
    <w:p>
      <w:pPr>
        <w:spacing w:line="360" w:lineRule="auto"/>
        <w:ind w:firstLine="482"/>
        <w:rPr>
          <w:rFonts w:hAnsi="宋体"/>
          <w:b/>
          <w:bCs/>
          <w:sz w:val="24"/>
          <w:szCs w:val="24"/>
        </w:rPr>
      </w:pPr>
      <w:r>
        <w:rPr>
          <w:rFonts w:hint="eastAsia" w:hAnsi="宋体"/>
          <w:b/>
          <w:bCs/>
          <w:sz w:val="24"/>
          <w:szCs w:val="24"/>
        </w:rPr>
        <w:t>（1）加载前准备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参赛选手根据规定时间，完成模型的制作，制作结束后对模型整体称重，并核查模型是否满足要求。出现以下情况之一者，判定该模型为不合格，不予加载，参赛模型加载项成绩为零：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/>
          <w:sz w:val="24"/>
          <w:szCs w:val="24"/>
        </w:rPr>
        <w:t>①模型整体尺寸不符合要求，超出误差限值，</w:t>
      </w:r>
      <w:r>
        <w:rPr>
          <w:rFonts w:hint="eastAsia" w:hAnsi="宋体"/>
          <w:sz w:val="24"/>
          <w:szCs w:val="24"/>
        </w:rPr>
        <w:t>包括桥长、宽度和高度；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/>
          <w:sz w:val="24"/>
          <w:szCs w:val="24"/>
        </w:rPr>
        <w:t>索塔底部尺寸不符合要求，超出索塔支承面范围；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③</w:t>
      </w:r>
      <w:r>
        <w:rPr>
          <w:rFonts w:hint="eastAsia" w:hAnsi="宋体"/>
          <w:sz w:val="24"/>
          <w:szCs w:val="24"/>
        </w:rPr>
        <w:t>桥面纵坡和横坡不符合要求；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④</w:t>
      </w:r>
      <w:r>
        <w:rPr>
          <w:rFonts w:hint="eastAsia" w:hAnsi="宋体"/>
          <w:sz w:val="24"/>
          <w:szCs w:val="24"/>
        </w:rPr>
        <w:t>桥面上的净空不符合要求，小车无法正常通行，桥面下的净空不符合要求，触碰规避区。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  <w:lang w:val="zh-CN"/>
        </w:rPr>
      </w:pPr>
      <w:r>
        <w:rPr>
          <w:rFonts w:hint="eastAsia" w:hAnsi="宋体"/>
          <w:sz w:val="24"/>
          <w:szCs w:val="24"/>
        </w:rPr>
        <w:t>绑扎绳套和</w:t>
      </w:r>
      <w:r>
        <w:rPr>
          <w:rFonts w:hint="eastAsia" w:hAnsi="宋体"/>
          <w:sz w:val="24"/>
          <w:szCs w:val="24"/>
          <w:lang w:val="zh-CN"/>
        </w:rPr>
        <w:t>模型称重：</w:t>
      </w:r>
      <w:r>
        <w:rPr>
          <w:rFonts w:hint="eastAsia" w:hAnsi="宋体"/>
          <w:sz w:val="24"/>
          <w:szCs w:val="24"/>
        </w:rPr>
        <w:t>模型制作完成后，由参赛选手在主跨跨中（相距最近的边墩支座中心线500mm，下同）的桥面上边缘两侧（非桥面板）各绑扎一个圆形绳套，绳套直径在20mm范围内，绳套重计入模型重量中。</w:t>
      </w:r>
      <w:r>
        <w:rPr>
          <w:rFonts w:hint="eastAsia"/>
          <w:sz w:val="24"/>
          <w:szCs w:val="24"/>
        </w:rPr>
        <w:t>先称重底板，标明底板重量，再将模型主墩底部与底板通过胶水刚性连接后整体称重，两者重量差值即为模型净重量</w:t>
      </w:r>
      <w:r>
        <w:rPr>
          <w:rFonts w:hint="eastAsia" w:hAnsi="宋体"/>
          <w:sz w:val="24"/>
          <w:szCs w:val="24"/>
          <w:lang w:val="zh-CN"/>
        </w:rPr>
        <w:t>。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专家指定偏载侧：由专家指定模型横向一侧作为风荷载和汽车荷载的偏载侧（以下简称偏载侧），用马克笔在底板上标出。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加载前，由一名参赛队员介绍作品构思，时间控制在1分钟内，然后回答专家提问。参赛队陈述和评委提问两个环节与模型安装同时进行，然后依次进行两次加载过程。</w:t>
      </w:r>
    </w:p>
    <w:p>
      <w:pPr>
        <w:spacing w:line="360" w:lineRule="auto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（2）加载方法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加载过程包括如下两个阶段</w:t>
      </w:r>
      <w:r>
        <w:rPr>
          <w:rFonts w:hint="eastAsia"/>
          <w:kern w:val="0"/>
          <w:sz w:val="24"/>
          <w:szCs w:val="24"/>
          <w:lang w:val="zh-CN"/>
        </w:rPr>
        <w:t>。</w:t>
      </w:r>
    </w:p>
    <w:p>
      <w:pPr>
        <w:spacing w:line="360" w:lineRule="auto"/>
        <w:ind w:firstLine="482" w:firstLineChars="200"/>
        <w:rPr>
          <w:rFonts w:hAnsi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①</w:t>
      </w:r>
      <w:r>
        <w:rPr>
          <w:rFonts w:hint="eastAsia" w:hAnsi="宋体"/>
          <w:b/>
          <w:bCs/>
          <w:sz w:val="24"/>
          <w:szCs w:val="24"/>
        </w:rPr>
        <w:t>第一阶段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首先由参赛选手按要求将桥面板1放在偏载侧，桥面板2放置在另一侧，将两辆小车分别停在偏载侧的车道主跨跨中和次跨跨中（相距最近的边墩支座中心线300mm），两车轮轴间中心分别与主跨跨中及次跨跨中对齐，规定主跨跨中小车上放置4块砝码，次跨小车上放置2块砝码。再将重锤和弹簧装置悬挂在偏载侧主跨跨中桥面上边缘的绳套上。一级加载准备好后由参赛队员剪断细绳1（见图6），弹簧振动时间不少于10s。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第一阶段的M</w:t>
      </w:r>
      <w:r>
        <w:rPr>
          <w:rFonts w:hint="eastAsia" w:hAnsi="宋体"/>
          <w:sz w:val="24"/>
          <w:szCs w:val="24"/>
          <w:vertAlign w:val="subscript"/>
        </w:rPr>
        <w:t>1</w:t>
      </w:r>
      <w:r>
        <w:rPr>
          <w:rFonts w:hint="eastAsia" w:hAnsi="宋体"/>
          <w:sz w:val="24"/>
          <w:szCs w:val="24"/>
        </w:rPr>
        <w:t>=11.5kg，包括小车、桥面板和重锤的重量。</w:t>
      </w:r>
    </w:p>
    <w:p>
      <w:pPr>
        <w:spacing w:line="360" w:lineRule="auto"/>
        <w:ind w:firstLine="482" w:firstLineChars="200"/>
        <w:rPr>
          <w:rFonts w:hAnsi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②</w:t>
      </w:r>
      <w:r>
        <w:rPr>
          <w:rFonts w:hint="eastAsia" w:hAnsi="宋体"/>
          <w:b/>
          <w:bCs/>
          <w:sz w:val="24"/>
          <w:szCs w:val="24"/>
        </w:rPr>
        <w:t>第二阶段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一级加载通过后选手可自行选择是否进行第二级加载。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保持第一阶加载中的重锤和弹簧不动。将两辆小车分别移到两个车道的桥面板端部，两车头相向，规定两辆小车上的砝码数量=1：2，由参赛选手选择1+2块或2+4块或3+6块砝码组合中之一，并将配重大的小车放置在偏载侧。二级加载中由参赛选手先按要求摆放好小车初始位置，确定好砝码等级，再启动小车，两辆小车在电机和同步带的牵引下，自动、相向、同步的匀速通过桥梁，小车行驶时间控制在20s左右。</w:t>
      </w:r>
    </w:p>
    <w:p>
      <w:pPr>
        <w:spacing w:line="360" w:lineRule="auto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第二阶段的M</w:t>
      </w:r>
      <w:r>
        <w:rPr>
          <w:rFonts w:hint="eastAsia" w:hAnsi="宋体"/>
          <w:sz w:val="24"/>
          <w:szCs w:val="24"/>
          <w:vertAlign w:val="subscript"/>
        </w:rPr>
        <w:t>2</w:t>
      </w:r>
      <w:r>
        <w:rPr>
          <w:rFonts w:hint="eastAsia" w:hAnsi="宋体"/>
          <w:sz w:val="24"/>
          <w:szCs w:val="24"/>
        </w:rPr>
        <w:t>=8.5kg或11.5kg或14.5kg，包括小车、桥面板和重锤的重量。</w:t>
      </w:r>
    </w:p>
    <w:p>
      <w:pPr>
        <w:spacing w:line="360" w:lineRule="auto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（3）评判标准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每一阶段加载完成后，当模型</w:t>
      </w:r>
      <w:r>
        <w:rPr>
          <w:rFonts w:hint="eastAsia"/>
          <w:kern w:val="0"/>
          <w:sz w:val="24"/>
          <w:szCs w:val="24"/>
        </w:rPr>
        <w:t>达到加载时间后</w:t>
      </w:r>
      <w:r>
        <w:rPr>
          <w:rFonts w:hint="eastAsia"/>
          <w:kern w:val="0"/>
          <w:sz w:val="24"/>
          <w:szCs w:val="24"/>
          <w:lang w:val="zh-CN"/>
        </w:rPr>
        <w:t>，不出现如下的失效情况，则判定该次加载成功，成绩有效。如果出现以下情况，则判定结构失效，终止加载，且本阶段加载成绩为零：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①</w:t>
      </w:r>
      <w:r>
        <w:rPr>
          <w:rFonts w:hint="eastAsia" w:ascii="宋体" w:hAnsi="宋体" w:cs="宋体"/>
          <w:sz w:val="24"/>
          <w:szCs w:val="24"/>
        </w:rPr>
        <w:t>模型坍塌；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②</w:t>
      </w:r>
      <w:r>
        <w:rPr>
          <w:rFonts w:hint="eastAsia"/>
          <w:sz w:val="24"/>
          <w:szCs w:val="24"/>
        </w:rPr>
        <w:t>小车侧翻；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③</w:t>
      </w:r>
      <w:r>
        <w:rPr>
          <w:rFonts w:hint="eastAsia"/>
          <w:sz w:val="24"/>
          <w:szCs w:val="24"/>
        </w:rPr>
        <w:t>砝码掉落；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④</w:t>
      </w:r>
      <w:r>
        <w:rPr>
          <w:rFonts w:hint="eastAsia"/>
          <w:sz w:val="24"/>
          <w:szCs w:val="24"/>
        </w:rPr>
        <w:t>桥梁严重变形导致车辆不能通行；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⑤</w:t>
      </w:r>
      <w:r>
        <w:rPr>
          <w:rFonts w:hint="eastAsia"/>
          <w:sz w:val="24"/>
          <w:szCs w:val="24"/>
        </w:rPr>
        <w:t>竞赛评委认定模型加载失效的其他情况。</w:t>
      </w:r>
    </w:p>
    <w:p>
      <w:pPr>
        <w:adjustRightInd w:val="0"/>
        <w:snapToGrid w:val="0"/>
        <w:spacing w:beforeLines="50" w:afterLines="50" w:line="360" w:lineRule="exact"/>
        <w:ind w:firstLine="482" w:firstLineChars="200"/>
        <w:rPr>
          <w:rFonts w:ascii="黑体" w:hAnsi="黑体" w:eastAsia="黑体"/>
          <w:b/>
          <w:color w:val="000000"/>
          <w:sz w:val="24"/>
          <w:szCs w:val="24"/>
        </w:rPr>
      </w:pPr>
      <w:r>
        <w:rPr>
          <w:rFonts w:hint="eastAsia" w:ascii="黑体" w:hAnsi="黑体" w:eastAsia="黑体"/>
          <w:b/>
          <w:color w:val="000000"/>
          <w:sz w:val="24"/>
          <w:szCs w:val="24"/>
        </w:rPr>
        <w:t>5.评分规则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根据理论方案、结构设计与制作、陈述与答辩、模型加载试验等4个方面进行评分，总分为100分（</w:t>
      </w:r>
      <w:r>
        <w:rPr>
          <w:rFonts w:hint="eastAsia"/>
          <w:b/>
          <w:bCs/>
          <w:kern w:val="0"/>
          <w:sz w:val="24"/>
          <w:szCs w:val="24"/>
        </w:rPr>
        <w:t>不能体现拉索作为主要承重构件的桥梁模型总分由专家组讨论减5-20分</w:t>
      </w:r>
      <w:r>
        <w:rPr>
          <w:rFonts w:hint="eastAsia"/>
          <w:kern w:val="0"/>
          <w:sz w:val="24"/>
          <w:szCs w:val="24"/>
        </w:rPr>
        <w:t>）。凡不符合竞赛要求或参赛过程中有违规行为的将不再进行加载试验。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（1）理论方案（</w:t>
      </w:r>
      <w:r>
        <w:rPr>
          <w:rFonts w:hint="eastAsia"/>
          <w:kern w:val="0"/>
          <w:sz w:val="24"/>
          <w:szCs w:val="24"/>
        </w:rPr>
        <w:t>5</w:t>
      </w:r>
      <w:r>
        <w:rPr>
          <w:rFonts w:hint="eastAsia"/>
          <w:kern w:val="0"/>
          <w:sz w:val="24"/>
          <w:szCs w:val="24"/>
          <w:lang w:val="zh-CN"/>
        </w:rPr>
        <w:t>分）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kern w:val="0"/>
          <w:sz w:val="24"/>
          <w:szCs w:val="24"/>
          <w:lang w:val="zh-CN"/>
        </w:rPr>
        <w:t>理论方案</w:t>
      </w:r>
      <w:r>
        <w:rPr>
          <w:rFonts w:hint="eastAsia"/>
          <w:sz w:val="24"/>
          <w:szCs w:val="24"/>
        </w:rPr>
        <w:t>根据</w:t>
      </w:r>
      <w:r>
        <w:rPr>
          <w:rFonts w:hint="eastAsia"/>
          <w:kern w:val="0"/>
          <w:sz w:val="24"/>
          <w:szCs w:val="24"/>
          <w:lang w:val="zh-CN"/>
        </w:rPr>
        <w:t>结构</w:t>
      </w:r>
      <w:r>
        <w:rPr>
          <w:rFonts w:hint="eastAsia"/>
          <w:sz w:val="24"/>
          <w:szCs w:val="24"/>
        </w:rPr>
        <w:t>设计与理论分析的完整性、合理性、创新性评分。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（2）结构设计与制作（10分）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 w:ascii="宋体" w:hAnsi="宋体"/>
          <w:kern w:val="0"/>
          <w:sz w:val="24"/>
          <w:szCs w:val="24"/>
          <w:lang w:val="zh-CN"/>
        </w:rPr>
        <w:t>①</w:t>
      </w:r>
      <w:r>
        <w:rPr>
          <w:rFonts w:hint="eastAsia"/>
          <w:kern w:val="0"/>
          <w:sz w:val="24"/>
          <w:szCs w:val="24"/>
          <w:lang w:val="zh-CN"/>
        </w:rPr>
        <w:t>结构合理性和结构及造型创新性（</w:t>
      </w:r>
      <w:r>
        <w:rPr>
          <w:rFonts w:hint="eastAsia"/>
          <w:kern w:val="0"/>
          <w:sz w:val="24"/>
          <w:szCs w:val="24"/>
        </w:rPr>
        <w:t>5</w:t>
      </w:r>
      <w:r>
        <w:rPr>
          <w:rFonts w:hint="eastAsia"/>
          <w:kern w:val="0"/>
          <w:sz w:val="24"/>
          <w:szCs w:val="24"/>
          <w:lang w:val="zh-CN"/>
        </w:rPr>
        <w:t>分）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 w:ascii="宋体" w:hAnsi="宋体"/>
          <w:kern w:val="0"/>
          <w:sz w:val="24"/>
          <w:szCs w:val="24"/>
          <w:lang w:val="zh-CN"/>
        </w:rPr>
        <w:t>②</w:t>
      </w:r>
      <w:r>
        <w:rPr>
          <w:rFonts w:hint="eastAsia"/>
          <w:kern w:val="0"/>
          <w:sz w:val="24"/>
          <w:szCs w:val="24"/>
          <w:lang w:val="zh-CN"/>
        </w:rPr>
        <w:t>模型制作质量与美观性（</w:t>
      </w:r>
      <w:r>
        <w:rPr>
          <w:rFonts w:hint="eastAsia"/>
          <w:kern w:val="0"/>
          <w:sz w:val="24"/>
          <w:szCs w:val="24"/>
        </w:rPr>
        <w:t>5</w:t>
      </w:r>
      <w:r>
        <w:rPr>
          <w:rFonts w:hint="eastAsia"/>
          <w:kern w:val="0"/>
          <w:sz w:val="24"/>
          <w:szCs w:val="24"/>
          <w:lang w:val="zh-CN"/>
        </w:rPr>
        <w:t>分）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（3）陈述与答辩（5分）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 w:ascii="宋体" w:hAnsi="宋体"/>
          <w:kern w:val="0"/>
          <w:sz w:val="24"/>
          <w:szCs w:val="24"/>
          <w:lang w:val="zh-CN"/>
        </w:rPr>
        <w:t>①由参赛队员简要介绍作品构思，时间控制在</w:t>
      </w:r>
      <w:r>
        <w:rPr>
          <w:rFonts w:ascii="宋体" w:hAnsi="宋体"/>
          <w:kern w:val="0"/>
          <w:sz w:val="24"/>
          <w:szCs w:val="24"/>
          <w:lang w:val="zh-CN"/>
        </w:rPr>
        <w:t>1</w:t>
      </w:r>
      <w:r>
        <w:rPr>
          <w:rFonts w:hint="eastAsia" w:ascii="宋体" w:hAnsi="宋体"/>
          <w:kern w:val="0"/>
          <w:sz w:val="24"/>
          <w:szCs w:val="24"/>
          <w:lang w:val="zh-CN"/>
        </w:rPr>
        <w:t>分钟内。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②现场回答专家的提问。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（4）模型加载试验（</w:t>
      </w:r>
      <w:r>
        <w:rPr>
          <w:rFonts w:hint="eastAsia"/>
          <w:kern w:val="0"/>
          <w:sz w:val="24"/>
          <w:szCs w:val="24"/>
        </w:rPr>
        <w:t>80</w:t>
      </w:r>
      <w:r>
        <w:rPr>
          <w:rFonts w:hint="eastAsia"/>
          <w:kern w:val="0"/>
          <w:sz w:val="24"/>
          <w:szCs w:val="24"/>
          <w:lang w:val="zh-CN"/>
        </w:rPr>
        <w:t>分）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①各参赛队模型（i）在各加载阶段的</w:t>
      </w:r>
      <w:r>
        <w:rPr>
          <w:rFonts w:hint="eastAsia"/>
          <w:kern w:val="0"/>
          <w:sz w:val="24"/>
          <w:szCs w:val="24"/>
        </w:rPr>
        <w:t>承载</w:t>
      </w:r>
      <w:r>
        <w:rPr>
          <w:rFonts w:hint="eastAsia"/>
          <w:kern w:val="0"/>
          <w:sz w:val="24"/>
          <w:szCs w:val="24"/>
          <w:lang w:val="zh-CN"/>
        </w:rPr>
        <w:t>能力m</w:t>
      </w:r>
      <w:r>
        <w:rPr>
          <w:rFonts w:hint="eastAsia"/>
          <w:kern w:val="0"/>
          <w:sz w:val="24"/>
          <w:szCs w:val="24"/>
          <w:vertAlign w:val="subscript"/>
          <w:lang w:val="zh-CN"/>
        </w:rPr>
        <w:t>1</w:t>
      </w:r>
      <w:r>
        <w:rPr>
          <w:rFonts w:hint="eastAsia"/>
          <w:kern w:val="0"/>
          <w:sz w:val="24"/>
          <w:szCs w:val="24"/>
          <w:lang w:val="zh-CN"/>
        </w:rPr>
        <w:t>、m</w:t>
      </w:r>
      <w:r>
        <w:rPr>
          <w:rFonts w:hint="eastAsia"/>
          <w:kern w:val="0"/>
          <w:sz w:val="24"/>
          <w:szCs w:val="24"/>
          <w:vertAlign w:val="subscript"/>
          <w:lang w:val="zh-CN"/>
        </w:rPr>
        <w:t>2</w:t>
      </w:r>
      <w:r>
        <w:rPr>
          <w:rFonts w:hint="eastAsia"/>
          <w:kern w:val="0"/>
          <w:sz w:val="24"/>
          <w:szCs w:val="24"/>
          <w:lang w:val="zh-CN"/>
        </w:rPr>
        <w:t>，按式（1）计算：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1"/>
        <w:gridCol w:w="2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firstLine="480" w:firstLineChars="200"/>
              <w:jc w:val="center"/>
              <w:rPr>
                <w:kern w:val="0"/>
                <w:sz w:val="24"/>
                <w:szCs w:val="24"/>
                <w:lang w:val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zh-CN"/>
              </w:rPr>
              <w:object>
                <v:shape id="_x0000_i1030" o:spt="75" type="#_x0000_t75" style="height:36.7pt;width:50.25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9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4"/>
                <w:szCs w:val="24"/>
                <w:lang w:val="zh-CN"/>
              </w:rPr>
              <w:t>；</w:t>
            </w:r>
            <w:r>
              <w:rPr>
                <w:rFonts w:hint="eastAsia"/>
                <w:kern w:val="0"/>
                <w:sz w:val="24"/>
                <w:szCs w:val="24"/>
                <w:lang w:val="zh-CN"/>
              </w:rPr>
              <w:object>
                <v:shape id="_x0000_i1031" o:spt="75" type="#_x0000_t75" style="height:33.3pt;width:49.6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21">
                  <o:LockedField>false</o:LockedField>
                </o:OLEObject>
              </w:objec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firstLine="480" w:firstLineChars="200"/>
              <w:jc w:val="center"/>
              <w:rPr>
                <w:kern w:val="0"/>
                <w:sz w:val="24"/>
                <w:szCs w:val="24"/>
                <w:lang w:val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zh-CN"/>
              </w:rPr>
              <w:t>（1）</w:t>
            </w:r>
          </w:p>
        </w:tc>
      </w:tr>
    </w:tbl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M</w:t>
      </w:r>
      <w:r>
        <w:rPr>
          <w:rFonts w:hint="eastAsia"/>
          <w:kern w:val="0"/>
          <w:sz w:val="24"/>
          <w:szCs w:val="24"/>
          <w:vertAlign w:val="subscript"/>
          <w:lang w:val="zh-CN"/>
        </w:rPr>
        <w:t>1</w:t>
      </w:r>
      <w:r>
        <w:rPr>
          <w:rFonts w:hint="eastAsia"/>
          <w:kern w:val="0"/>
          <w:sz w:val="24"/>
          <w:szCs w:val="24"/>
          <w:lang w:val="zh-CN"/>
        </w:rPr>
        <w:t>—本队模型第一</w:t>
      </w:r>
      <w:r>
        <w:rPr>
          <w:rFonts w:hint="eastAsia"/>
          <w:kern w:val="0"/>
          <w:sz w:val="24"/>
          <w:szCs w:val="24"/>
        </w:rPr>
        <w:t>级</w:t>
      </w:r>
      <w:r>
        <w:rPr>
          <w:rFonts w:hint="eastAsia"/>
          <w:kern w:val="0"/>
          <w:sz w:val="24"/>
          <w:szCs w:val="24"/>
          <w:lang w:val="zh-CN"/>
        </w:rPr>
        <w:t>加载成功的配重，M</w:t>
      </w:r>
      <w:r>
        <w:rPr>
          <w:rFonts w:hint="eastAsia"/>
          <w:kern w:val="0"/>
          <w:sz w:val="24"/>
          <w:szCs w:val="24"/>
          <w:vertAlign w:val="subscript"/>
          <w:lang w:val="zh-CN"/>
        </w:rPr>
        <w:t>1</w:t>
      </w:r>
      <w:r>
        <w:rPr>
          <w:rFonts w:hint="eastAsia"/>
          <w:kern w:val="0"/>
          <w:sz w:val="24"/>
          <w:szCs w:val="24"/>
          <w:lang w:val="zh-CN"/>
        </w:rPr>
        <w:t>=</w:t>
      </w:r>
      <w:r>
        <w:rPr>
          <w:rFonts w:hint="eastAsia"/>
          <w:kern w:val="0"/>
          <w:sz w:val="24"/>
          <w:szCs w:val="24"/>
        </w:rPr>
        <w:t>11.5</w:t>
      </w:r>
      <w:r>
        <w:rPr>
          <w:rFonts w:hint="eastAsia"/>
          <w:kern w:val="0"/>
          <w:sz w:val="24"/>
          <w:szCs w:val="24"/>
          <w:lang w:val="zh-CN"/>
        </w:rPr>
        <w:t>kg；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M</w:t>
      </w:r>
      <w:r>
        <w:rPr>
          <w:rFonts w:hint="eastAsia"/>
          <w:kern w:val="0"/>
          <w:sz w:val="24"/>
          <w:szCs w:val="24"/>
          <w:vertAlign w:val="subscript"/>
          <w:lang w:val="zh-CN"/>
        </w:rPr>
        <w:t>2</w:t>
      </w:r>
      <w:r>
        <w:rPr>
          <w:rFonts w:hint="eastAsia"/>
          <w:kern w:val="0"/>
          <w:sz w:val="24"/>
          <w:szCs w:val="24"/>
          <w:lang w:val="zh-CN"/>
        </w:rPr>
        <w:t>—本队模型第二</w:t>
      </w:r>
      <w:r>
        <w:rPr>
          <w:rFonts w:hint="eastAsia"/>
          <w:kern w:val="0"/>
          <w:sz w:val="24"/>
          <w:szCs w:val="24"/>
        </w:rPr>
        <w:t>级</w:t>
      </w:r>
      <w:r>
        <w:rPr>
          <w:rFonts w:hint="eastAsia"/>
          <w:kern w:val="0"/>
          <w:sz w:val="24"/>
          <w:szCs w:val="24"/>
          <w:lang w:val="zh-CN"/>
        </w:rPr>
        <w:t>的加载成功的配重，M</w:t>
      </w:r>
      <w:r>
        <w:rPr>
          <w:rFonts w:hint="eastAsia"/>
          <w:kern w:val="0"/>
          <w:sz w:val="24"/>
          <w:szCs w:val="24"/>
          <w:vertAlign w:val="subscript"/>
          <w:lang w:val="zh-CN"/>
        </w:rPr>
        <w:t>2</w:t>
      </w:r>
      <w:r>
        <w:rPr>
          <w:rFonts w:hint="eastAsia"/>
          <w:kern w:val="0"/>
          <w:sz w:val="24"/>
          <w:szCs w:val="24"/>
          <w:lang w:val="zh-CN"/>
        </w:rPr>
        <w:t>=</w:t>
      </w:r>
      <w:r>
        <w:rPr>
          <w:rFonts w:hint="eastAsia"/>
          <w:kern w:val="0"/>
          <w:sz w:val="24"/>
          <w:szCs w:val="24"/>
        </w:rPr>
        <w:t>8.5</w:t>
      </w:r>
      <w:r>
        <w:rPr>
          <w:rFonts w:hint="eastAsia"/>
          <w:kern w:val="0"/>
          <w:sz w:val="24"/>
          <w:szCs w:val="24"/>
          <w:lang w:val="zh-CN"/>
        </w:rPr>
        <w:t>kg或</w:t>
      </w:r>
      <w:r>
        <w:rPr>
          <w:rFonts w:hint="eastAsia"/>
          <w:kern w:val="0"/>
          <w:sz w:val="24"/>
          <w:szCs w:val="24"/>
        </w:rPr>
        <w:t>11.5</w:t>
      </w:r>
      <w:r>
        <w:rPr>
          <w:rFonts w:hint="eastAsia"/>
          <w:kern w:val="0"/>
          <w:sz w:val="24"/>
          <w:szCs w:val="24"/>
          <w:lang w:val="zh-CN"/>
        </w:rPr>
        <w:t>kg</w:t>
      </w:r>
      <w:r>
        <w:rPr>
          <w:rFonts w:hint="eastAsia"/>
          <w:kern w:val="0"/>
          <w:sz w:val="24"/>
          <w:szCs w:val="24"/>
        </w:rPr>
        <w:t>或14.5kg</w:t>
      </w:r>
      <w:r>
        <w:rPr>
          <w:rFonts w:hint="eastAsia"/>
          <w:kern w:val="0"/>
          <w:sz w:val="24"/>
          <w:szCs w:val="24"/>
          <w:lang w:val="zh-CN"/>
        </w:rPr>
        <w:t>；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M—本队模型的自重（单位：kg）。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sz w:val="24"/>
          <w:szCs w:val="24"/>
          <w:lang w:val="zh-CN"/>
        </w:rPr>
        <w:t>②模型</w:t>
      </w:r>
      <w:r>
        <w:rPr>
          <w:rFonts w:hint="eastAsia"/>
          <w:kern w:val="0"/>
          <w:sz w:val="24"/>
          <w:szCs w:val="24"/>
        </w:rPr>
        <w:t>加载</w:t>
      </w:r>
      <w:r>
        <w:rPr>
          <w:rFonts w:hint="eastAsia"/>
          <w:kern w:val="0"/>
          <w:sz w:val="24"/>
          <w:szCs w:val="24"/>
          <w:lang w:val="zh-CN"/>
        </w:rPr>
        <w:t>得分C</w:t>
      </w:r>
      <w:r>
        <w:rPr>
          <w:rFonts w:hint="eastAsia"/>
          <w:kern w:val="0"/>
          <w:sz w:val="24"/>
          <w:szCs w:val="24"/>
          <w:vertAlign w:val="subscript"/>
          <w:lang w:val="zh-CN"/>
        </w:rPr>
        <w:t>i</w:t>
      </w:r>
      <w:r>
        <w:rPr>
          <w:rFonts w:hint="eastAsia"/>
          <w:kern w:val="0"/>
          <w:sz w:val="24"/>
          <w:szCs w:val="24"/>
          <w:lang w:val="zh-CN"/>
        </w:rPr>
        <w:t>，按式（2）计算：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1"/>
        <w:gridCol w:w="2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4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firstLine="480" w:firstLineChars="200"/>
              <w:jc w:val="center"/>
              <w:rPr>
                <w:kern w:val="0"/>
                <w:sz w:val="24"/>
                <w:szCs w:val="24"/>
                <w:lang w:val="zh-CN"/>
              </w:rPr>
            </w:pPr>
            <w:r>
              <w:rPr>
                <w:kern w:val="0"/>
                <w:position w:val="-28"/>
                <w:sz w:val="24"/>
                <w:szCs w:val="24"/>
                <w:lang w:val="zh-CN"/>
              </w:rPr>
              <w:object>
                <v:shape id="_x0000_i1032" o:spt="75" type="#_x0000_t75" style="height:55pt;width:165.0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Equation.KSEE3" ShapeID="_x0000_i1032" DrawAspect="Content" ObjectID="_1468075732" r:id="rId23">
                  <o:LockedField>false</o:LockedField>
                </o:OLEObject>
              </w:objec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firstLine="480" w:firstLineChars="200"/>
              <w:jc w:val="center"/>
              <w:rPr>
                <w:kern w:val="0"/>
                <w:sz w:val="24"/>
                <w:szCs w:val="24"/>
                <w:lang w:val="zh-CN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（2）</w:t>
            </w:r>
          </w:p>
        </w:tc>
      </w:tr>
    </w:tbl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4"/>
          <w:lang w:val="zh-CN"/>
        </w:rPr>
      </w:pPr>
      <w:r>
        <w:rPr>
          <w:rFonts w:hint="eastAsia"/>
          <w:kern w:val="0"/>
          <w:position w:val="-12"/>
          <w:sz w:val="24"/>
          <w:szCs w:val="24"/>
          <w:lang w:val="zh-CN"/>
        </w:rPr>
        <w:object>
          <v:shape id="_x0000_i1033" o:spt="75" type="#_x0000_t75" style="height:17pt;width:29.2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25">
            <o:LockedField>false</o:LockedField>
          </o:OLEObject>
        </w:object>
      </w:r>
      <w:r>
        <w:rPr>
          <w:rFonts w:hint="eastAsia"/>
          <w:kern w:val="0"/>
          <w:sz w:val="24"/>
          <w:szCs w:val="24"/>
          <w:lang w:val="zh-CN"/>
        </w:rPr>
        <w:t>—第一</w:t>
      </w:r>
      <w:r>
        <w:rPr>
          <w:rFonts w:hint="eastAsia"/>
          <w:kern w:val="0"/>
          <w:sz w:val="24"/>
          <w:szCs w:val="24"/>
        </w:rPr>
        <w:t>级</w:t>
      </w:r>
      <w:r>
        <w:rPr>
          <w:rFonts w:hint="eastAsia"/>
          <w:kern w:val="0"/>
          <w:sz w:val="24"/>
          <w:szCs w:val="24"/>
          <w:lang w:val="zh-CN"/>
        </w:rPr>
        <w:t>加载时，所有参赛队模型加载成功的最大值；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/>
          <w:kern w:val="0"/>
          <w:sz w:val="24"/>
          <w:szCs w:val="24"/>
          <w:lang w:val="zh-CN"/>
        </w:rPr>
      </w:pPr>
      <w:r>
        <w:rPr>
          <w:rFonts w:hint="eastAsia"/>
          <w:kern w:val="0"/>
          <w:position w:val="-12"/>
          <w:sz w:val="24"/>
          <w:szCs w:val="24"/>
          <w:lang w:val="zh-CN"/>
        </w:rPr>
        <w:object>
          <v:shape id="_x0000_i1034" o:spt="75" type="#_x0000_t75" style="height:17pt;width:29.9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27">
            <o:LockedField>false</o:LockedField>
          </o:OLEObject>
        </w:object>
      </w:r>
      <w:r>
        <w:rPr>
          <w:rFonts w:hint="eastAsia"/>
          <w:kern w:val="0"/>
          <w:sz w:val="24"/>
          <w:szCs w:val="24"/>
          <w:lang w:val="zh-CN"/>
        </w:rPr>
        <w:t>—第二</w:t>
      </w:r>
      <w:r>
        <w:rPr>
          <w:rFonts w:hint="eastAsia"/>
          <w:kern w:val="0"/>
          <w:sz w:val="24"/>
          <w:szCs w:val="24"/>
        </w:rPr>
        <w:t>级</w:t>
      </w:r>
      <w:r>
        <w:rPr>
          <w:rFonts w:hint="eastAsia"/>
          <w:kern w:val="0"/>
          <w:sz w:val="24"/>
          <w:szCs w:val="24"/>
          <w:lang w:val="zh-CN"/>
        </w:rPr>
        <w:t>加载时，所有参赛队模型加载成功的最大值。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/>
          <w:kern w:val="0"/>
          <w:sz w:val="24"/>
          <w:szCs w:val="2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/>
          <w:kern w:val="0"/>
          <w:sz w:val="24"/>
          <w:szCs w:val="2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/>
          <w:kern w:val="0"/>
          <w:sz w:val="24"/>
          <w:szCs w:val="2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after="157" w:afterLines="50" w:line="360" w:lineRule="exact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28"/>
          <w:szCs w:val="28"/>
          <w:lang w:val="en-US" w:eastAsia="zh-CN"/>
        </w:rPr>
        <w:t>关于</w:t>
      </w:r>
      <w:r>
        <w:rPr>
          <w:rFonts w:hint="default" w:ascii="Times New Roman" w:hAnsi="Times New Roman" w:eastAsia="宋体" w:cs="Times New Roman"/>
          <w:b/>
          <w:bCs/>
          <w:color w:val="FF0000"/>
          <w:sz w:val="28"/>
          <w:szCs w:val="28"/>
        </w:rPr>
        <w:t>浙江省第二十届大学生结构设计竞赛题目</w:t>
      </w:r>
      <w:r>
        <w:rPr>
          <w:rFonts w:hint="default" w:ascii="Times New Roman" w:hAnsi="Times New Roman" w:eastAsia="宋体" w:cs="Times New Roman"/>
          <w:b/>
          <w:bCs/>
          <w:color w:val="FF0000"/>
          <w:sz w:val="28"/>
          <w:szCs w:val="28"/>
          <w:lang w:val="en-US" w:eastAsia="zh-CN"/>
        </w:rPr>
        <w:t>的补充说明</w:t>
      </w:r>
      <w:r>
        <w:rPr>
          <w:rFonts w:hint="eastAsia" w:cs="Times New Roman"/>
          <w:b/>
          <w:bCs/>
          <w:color w:val="FF000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leftChars="0" w:firstLine="0" w:firstLineChars="0"/>
        <w:textAlignment w:val="auto"/>
        <w:rPr>
          <w:rFonts w:hint="eastAsia"/>
          <w:kern w:val="0"/>
          <w:sz w:val="24"/>
          <w:szCs w:val="24"/>
          <w:lang w:val="en-US" w:eastAsia="zh-CN"/>
        </w:rPr>
      </w:pPr>
      <w:r>
        <w:rPr>
          <w:rFonts w:hint="eastAsia"/>
          <w:kern w:val="0"/>
          <w:sz w:val="24"/>
          <w:szCs w:val="24"/>
          <w:lang w:val="en-US" w:eastAsia="zh-CN"/>
        </w:rPr>
        <w:t>比赛提供的模型制作材料中增加竹皮，竹皮规格和数量如下表1所示。</w:t>
      </w:r>
    </w:p>
    <w:p>
      <w:pPr>
        <w:jc w:val="center"/>
        <w:rPr>
          <w:rFonts w:hint="eastAsia" w:eastAsia="黑体"/>
        </w:rPr>
      </w:pPr>
      <w:r>
        <w:rPr>
          <w:rFonts w:hint="eastAsia" w:eastAsia="黑体"/>
        </w:rPr>
        <w:t>表1 竹</w:t>
      </w:r>
      <w:r>
        <w:rPr>
          <w:rFonts w:hint="eastAsia" w:eastAsia="黑体"/>
          <w:lang w:val="en-US" w:eastAsia="zh-CN"/>
        </w:rPr>
        <w:t>皮</w:t>
      </w:r>
      <w:r>
        <w:rPr>
          <w:rFonts w:hint="eastAsia" w:eastAsia="黑体"/>
        </w:rPr>
        <w:t>规格及用量</w:t>
      </w:r>
    </w:p>
    <w:tbl>
      <w:tblPr>
        <w:tblStyle w:val="6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3165"/>
        <w:gridCol w:w="1825"/>
        <w:gridCol w:w="1379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309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竹材规格</w:t>
            </w:r>
          </w:p>
        </w:tc>
        <w:tc>
          <w:tcPr>
            <w:tcW w:w="107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竹材名称</w:t>
            </w:r>
          </w:p>
        </w:tc>
        <w:tc>
          <w:tcPr>
            <w:tcW w:w="8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标准质量（g）</w:t>
            </w:r>
          </w:p>
        </w:tc>
        <w:tc>
          <w:tcPr>
            <w:tcW w:w="8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52" w:type="pct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竹皮</w:t>
            </w:r>
          </w:p>
        </w:tc>
        <w:tc>
          <w:tcPr>
            <w:tcW w:w="18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1250mm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×</w:t>
            </w:r>
            <w:r>
              <w:rPr>
                <w:rFonts w:hint="default" w:ascii="Times New Roman" w:hAnsi="Times New Roman" w:cs="Times New Roman"/>
                <w:szCs w:val="21"/>
              </w:rPr>
              <w:t>430mm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×</w:t>
            </w:r>
            <w:r>
              <w:rPr>
                <w:rFonts w:hint="default" w:ascii="Times New Roman" w:hAnsi="Times New Roman" w:cs="Times New Roman"/>
                <w:szCs w:val="21"/>
              </w:rPr>
              <w:t>0.20 mm</w:t>
            </w:r>
          </w:p>
        </w:tc>
        <w:tc>
          <w:tcPr>
            <w:tcW w:w="107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集成竹片（单层）</w:t>
            </w:r>
          </w:p>
        </w:tc>
        <w:tc>
          <w:tcPr>
            <w:tcW w:w="8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85</w:t>
            </w:r>
          </w:p>
        </w:tc>
        <w:tc>
          <w:tcPr>
            <w:tcW w:w="8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452" w:type="pct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8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1250mm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×</w:t>
            </w:r>
            <w:r>
              <w:rPr>
                <w:rFonts w:hint="default" w:ascii="Times New Roman" w:hAnsi="Times New Roman" w:cs="Times New Roman"/>
                <w:szCs w:val="21"/>
              </w:rPr>
              <w:t>430mm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×</w:t>
            </w:r>
            <w:r>
              <w:rPr>
                <w:rFonts w:hint="default" w:ascii="Times New Roman" w:hAnsi="Times New Roman" w:cs="Times New Roman"/>
                <w:szCs w:val="21"/>
              </w:rPr>
              <w:t>0.35 mm</w:t>
            </w:r>
          </w:p>
        </w:tc>
        <w:tc>
          <w:tcPr>
            <w:tcW w:w="107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集成竹片（双层）</w:t>
            </w:r>
          </w:p>
        </w:tc>
        <w:tc>
          <w:tcPr>
            <w:tcW w:w="8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150</w:t>
            </w:r>
          </w:p>
        </w:tc>
        <w:tc>
          <w:tcPr>
            <w:tcW w:w="8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452" w:type="pct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8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1250mm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×</w:t>
            </w:r>
            <w:r>
              <w:rPr>
                <w:rFonts w:hint="default" w:ascii="Times New Roman" w:hAnsi="Times New Roman" w:cs="Times New Roman"/>
                <w:szCs w:val="21"/>
              </w:rPr>
              <w:t>430mm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×</w:t>
            </w:r>
            <w:r>
              <w:rPr>
                <w:rFonts w:hint="default" w:ascii="Times New Roman" w:hAnsi="Times New Roman" w:cs="Times New Roman"/>
                <w:szCs w:val="21"/>
              </w:rPr>
              <w:t>0.50 mm</w:t>
            </w:r>
          </w:p>
        </w:tc>
        <w:tc>
          <w:tcPr>
            <w:tcW w:w="107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集成竹片（双层）</w:t>
            </w:r>
          </w:p>
        </w:tc>
        <w:tc>
          <w:tcPr>
            <w:tcW w:w="8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210</w:t>
            </w:r>
          </w:p>
        </w:tc>
        <w:tc>
          <w:tcPr>
            <w:tcW w:w="8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1张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napToGrid w:val="0"/>
        <w:spacing w:line="360" w:lineRule="auto"/>
        <w:rPr>
          <w:rFonts w:hint="eastAsia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leftChars="0" w:firstLine="0" w:firstLineChars="0"/>
        <w:textAlignment w:val="auto"/>
        <w:rPr>
          <w:rFonts w:hint="eastAsia"/>
          <w:kern w:val="0"/>
          <w:sz w:val="24"/>
          <w:szCs w:val="24"/>
          <w:lang w:val="en-US" w:eastAsia="zh-CN"/>
        </w:rPr>
      </w:pPr>
      <w:r>
        <w:rPr>
          <w:rFonts w:hint="eastAsia"/>
          <w:kern w:val="0"/>
          <w:sz w:val="24"/>
          <w:szCs w:val="24"/>
          <w:lang w:val="en-US" w:eastAsia="zh-CN"/>
        </w:rPr>
        <w:t>设备平台中边支座支承面标高增至1.030m，主墩支承面增至0.715m，如下图1所示。</w:t>
      </w:r>
    </w:p>
    <w:p>
      <w:pPr>
        <w:numPr>
          <w:ilvl w:val="0"/>
          <w:numId w:val="0"/>
        </w:numPr>
        <w:autoSpaceDE w:val="0"/>
        <w:autoSpaceDN w:val="0"/>
        <w:adjustRightInd w:val="0"/>
        <w:snapToGrid w:val="0"/>
        <w:spacing w:line="360" w:lineRule="auto"/>
        <w:ind w:leftChars="0"/>
        <w:jc w:val="center"/>
        <w:rPr>
          <w:rFonts w:eastAsia="黑体"/>
        </w:rPr>
      </w:pPr>
      <w:r>
        <w:rPr>
          <w:rFonts w:eastAsia="黑体"/>
        </w:rPr>
        <w:object>
          <v:shape id="_x0000_i1035" o:spt="75" type="#_x0000_t75" style="height:133pt;width:261pt;" o:ole="t" filled="f" o:preferrelative="t" stroked="f" coordsize="21600,21600">
            <v:path/>
            <v:fill on="f" focussize="0,0"/>
            <v:stroke on="f"/>
            <v:imagedata r:id="rId30" croptop="-804f" cropright="15212f" cropbottom="30172f" o:title=""/>
            <o:lock v:ext="edit" aspectratio="f"/>
            <w10:wrap type="none"/>
            <w10:anchorlock/>
          </v:shape>
          <o:OLEObject Type="Embed" ProgID="Visio.Drawing.15" ShapeID="_x0000_i1035" DrawAspect="Content" ObjectID="_1468075735" r:id="rId29">
            <o:LockedField>false</o:LockedField>
          </o:OLEObject>
        </w:object>
      </w:r>
    </w:p>
    <w:p>
      <w:pPr>
        <w:jc w:val="center"/>
        <w:rPr>
          <w:rFonts w:eastAsia="黑体"/>
        </w:rPr>
      </w:pPr>
      <w:r>
        <w:rPr>
          <w:rFonts w:eastAsia="黑体"/>
        </w:rPr>
        <w:t>图</w:t>
      </w:r>
      <w:r>
        <w:rPr>
          <w:rFonts w:hint="eastAsia" w:eastAsia="黑体"/>
        </w:rPr>
        <w:t>1</w:t>
      </w:r>
      <w:r>
        <w:rPr>
          <w:rFonts w:eastAsia="黑体"/>
        </w:rPr>
        <w:t xml:space="preserve">  模型尺寸范围</w:t>
      </w:r>
      <w:r>
        <w:rPr>
          <w:rFonts w:hint="eastAsia" w:eastAsia="黑体"/>
          <w:lang w:val="en-US" w:eastAsia="zh-CN"/>
        </w:rPr>
        <w:t>及设备立面</w:t>
      </w:r>
      <w:r>
        <w:rPr>
          <w:rFonts w:hint="eastAsia" w:eastAsia="黑体"/>
        </w:rPr>
        <w:t>示意图</w:t>
      </w:r>
      <w:r>
        <w:rPr>
          <w:rFonts w:eastAsia="黑体"/>
        </w:rPr>
        <w:t>（</w:t>
      </w:r>
      <w:r>
        <w:rPr>
          <w:rFonts w:hint="eastAsia" w:eastAsia="黑体"/>
        </w:rPr>
        <w:t>标高单位：m；其他</w:t>
      </w:r>
      <w:r>
        <w:rPr>
          <w:rFonts w:eastAsia="黑体"/>
        </w:rPr>
        <w:t>单位：mm）</w:t>
      </w:r>
    </w:p>
    <w:p>
      <w:pPr>
        <w:numPr>
          <w:ilvl w:val="0"/>
          <w:numId w:val="0"/>
        </w:numPr>
        <w:autoSpaceDE w:val="0"/>
        <w:autoSpaceDN w:val="0"/>
        <w:adjustRightInd w:val="0"/>
        <w:snapToGrid w:val="0"/>
        <w:spacing w:line="360" w:lineRule="auto"/>
        <w:ind w:leftChars="0"/>
        <w:jc w:val="center"/>
        <w:rPr>
          <w:rFonts w:hint="eastAsia" w:eastAsia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leftChars="0" w:firstLine="0" w:firstLineChars="0"/>
        <w:textAlignment w:val="auto"/>
        <w:rPr>
          <w:rFonts w:hint="eastAsia"/>
          <w:kern w:val="0"/>
          <w:sz w:val="24"/>
          <w:szCs w:val="24"/>
          <w:lang w:val="en-US" w:eastAsia="zh-CN"/>
        </w:rPr>
      </w:pPr>
      <w:r>
        <w:rPr>
          <w:rFonts w:hint="eastAsia"/>
          <w:kern w:val="0"/>
          <w:sz w:val="24"/>
          <w:szCs w:val="24"/>
          <w:lang w:val="en-US" w:eastAsia="zh-CN"/>
        </w:rPr>
        <w:t>为防止小车行驶中桥面板滑动，需绑定桥面板端部，但只绑定小车起始位置的一端，如下图2所示。</w:t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/>
          <w:kern w:val="0"/>
          <w:sz w:val="24"/>
          <w:szCs w:val="24"/>
          <w:lang w:val="en-US" w:eastAsia="zh-CN"/>
        </w:rPr>
      </w:pPr>
      <w:r>
        <w:rPr>
          <w:rFonts w:hint="eastAsia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298700" cy="1515745"/>
            <wp:effectExtent l="0" t="0" r="0" b="8255"/>
            <wp:docPr id="7" name="图片 7" descr="5ed43fd10e9efb40a46472298d04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d43fd10e9efb40a46472298d04de4"/>
                    <pic:cNvPicPr>
                      <a:picLocks noChangeAspect="1"/>
                    </pic:cNvPicPr>
                  </pic:nvPicPr>
                  <pic:blipFill>
                    <a:blip r:embed="rId31"/>
                    <a:srcRect l="-14925" t="35209" r="-4040" b="9355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napToGrid w:val="0"/>
        <w:spacing w:line="360" w:lineRule="auto"/>
        <w:jc w:val="center"/>
        <w:rPr>
          <w:rFonts w:hint="default" w:eastAsia="黑体"/>
          <w:lang w:val="en-US" w:eastAsia="zh-CN"/>
        </w:rPr>
      </w:pPr>
      <w:r>
        <w:rPr>
          <w:rFonts w:eastAsia="黑体"/>
        </w:rPr>
        <w:t>图</w:t>
      </w:r>
      <w:r>
        <w:rPr>
          <w:rFonts w:hint="eastAsia" w:eastAsia="黑体"/>
          <w:lang w:val="en-US" w:eastAsia="zh-CN"/>
        </w:rPr>
        <w:t>2  绑定桥面板上小车起始位置的一端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leftChars="0" w:firstLine="0" w:firstLineChars="0"/>
        <w:textAlignment w:val="auto"/>
        <w:rPr>
          <w:rFonts w:hint="eastAsia"/>
          <w:kern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原通知中</w:t>
      </w:r>
      <w:r>
        <w:rPr>
          <w:rFonts w:hint="eastAsia"/>
          <w:kern w:val="0"/>
          <w:sz w:val="24"/>
          <w:szCs w:val="24"/>
          <w:lang w:val="en-US" w:eastAsia="zh-CN"/>
        </w:rPr>
        <w:t>“1.竞赛模型，</w:t>
      </w:r>
      <w:r>
        <w:rPr>
          <w:rFonts w:hint="eastAsia"/>
          <w:kern w:val="0"/>
          <w:sz w:val="24"/>
          <w:szCs w:val="24"/>
          <w:highlight w:val="yellow"/>
          <w:lang w:val="zh-CN"/>
        </w:rPr>
        <w:t>桥面纵坡和横坡均限制在3%范围内</w:t>
      </w:r>
      <w:r>
        <w:rPr>
          <w:rFonts w:hint="eastAsia"/>
          <w:kern w:val="0"/>
          <w:sz w:val="24"/>
          <w:szCs w:val="24"/>
          <w:lang w:val="en-US" w:eastAsia="zh-CN"/>
        </w:rPr>
        <w:t>”的桥梁纵坡和横坡是指模型的桥面铺上桥面板（附带障碍物）后的坡度。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leftChars="0" w:firstLine="0" w:firstLineChars="0"/>
        <w:textAlignment w:val="auto"/>
        <w:rPr>
          <w:rFonts w:hint="eastAsia"/>
          <w:kern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原通知中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2.加载系统，（4）重锤和弹簧装置，</w:t>
      </w:r>
      <w:r>
        <w:rPr>
          <w:sz w:val="24"/>
          <w:szCs w:val="24"/>
          <w:highlight w:val="yellow"/>
        </w:rPr>
        <w:t>弹簧劲度系数约为</w:t>
      </w:r>
      <w:r>
        <w:rPr>
          <w:rFonts w:hint="eastAsia"/>
          <w:sz w:val="24"/>
          <w:szCs w:val="24"/>
          <w:highlight w:val="yellow"/>
        </w:rPr>
        <w:t>8</w:t>
      </w:r>
      <w:r>
        <w:rPr>
          <w:sz w:val="24"/>
          <w:szCs w:val="24"/>
          <w:highlight w:val="yellow"/>
        </w:rPr>
        <w:t>N/cm</w:t>
      </w:r>
      <w:r>
        <w:rPr>
          <w:rFonts w:hint="eastAsia"/>
          <w:sz w:val="24"/>
          <w:szCs w:val="24"/>
          <w:lang w:eastAsia="zh-CN"/>
        </w:rPr>
        <w:t>”，</w:t>
      </w:r>
      <w:r>
        <w:rPr>
          <w:rFonts w:hint="eastAsia"/>
          <w:sz w:val="24"/>
          <w:szCs w:val="24"/>
          <w:lang w:val="en-US" w:eastAsia="zh-CN"/>
        </w:rPr>
        <w:t>经最终调试，选定的</w:t>
      </w:r>
      <w:r>
        <w:rPr>
          <w:sz w:val="24"/>
          <w:szCs w:val="24"/>
        </w:rPr>
        <w:t>弹簧劲度系数</w:t>
      </w:r>
      <w:r>
        <w:rPr>
          <w:rFonts w:hint="eastAsia"/>
          <w:sz w:val="24"/>
          <w:szCs w:val="24"/>
          <w:lang w:val="en-US" w:eastAsia="zh-CN"/>
        </w:rPr>
        <w:t>实测</w:t>
      </w:r>
      <w:r>
        <w:rPr>
          <w:sz w:val="24"/>
          <w:szCs w:val="24"/>
        </w:rPr>
        <w:t>约为</w:t>
      </w:r>
      <w:r>
        <w:rPr>
          <w:rFonts w:hint="eastAsia"/>
          <w:sz w:val="24"/>
          <w:szCs w:val="24"/>
          <w:lang w:val="en-US" w:eastAsia="zh-CN"/>
        </w:rPr>
        <w:t>1.2</w:t>
      </w:r>
      <w:r>
        <w:rPr>
          <w:sz w:val="24"/>
          <w:szCs w:val="24"/>
        </w:rPr>
        <w:t>N/cm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leftChars="0" w:firstLine="0" w:firstLineChars="0"/>
        <w:textAlignment w:val="auto"/>
        <w:rPr>
          <w:rFonts w:hint="eastAsia"/>
          <w:kern w:val="0"/>
          <w:sz w:val="24"/>
          <w:szCs w:val="24"/>
          <w:lang w:val="en-US" w:eastAsia="zh-CN"/>
        </w:rPr>
      </w:pPr>
      <w:r>
        <w:rPr>
          <w:rFonts w:hint="eastAsia"/>
          <w:kern w:val="0"/>
          <w:sz w:val="24"/>
          <w:szCs w:val="24"/>
          <w:lang w:val="en-US" w:eastAsia="zh-CN"/>
        </w:rPr>
        <w:t>原通知中“4.加载测试，（1）加载前准备，</w:t>
      </w:r>
      <w:r>
        <w:rPr>
          <w:rFonts w:hint="eastAsia" w:hAnsi="宋体"/>
          <w:sz w:val="24"/>
          <w:szCs w:val="24"/>
          <w:highlight w:val="yellow"/>
        </w:rPr>
        <w:t>绳套直径在20mm范围内</w:t>
      </w:r>
      <w:r>
        <w:rPr>
          <w:rFonts w:hint="eastAsia"/>
          <w:kern w:val="0"/>
          <w:sz w:val="24"/>
          <w:szCs w:val="24"/>
          <w:lang w:val="en-US" w:eastAsia="zh-CN"/>
        </w:rPr>
        <w:t>”修改为“圆形绳套拉直后长100mm~120mm”，以防止弹簧触碰到桥梁模型的主梁。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Chars="0"/>
        <w:textAlignment w:val="auto"/>
        <w:rPr>
          <w:rFonts w:hint="eastAsia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Chars="0"/>
        <w:jc w:val="right"/>
        <w:textAlignment w:val="auto"/>
        <w:rPr>
          <w:rFonts w:hint="eastAsia"/>
          <w:kern w:val="0"/>
          <w:sz w:val="24"/>
          <w:szCs w:val="24"/>
          <w:lang w:val="en-US" w:eastAsia="zh-CN"/>
        </w:rPr>
      </w:pPr>
      <w:r>
        <w:rPr>
          <w:rFonts w:hint="eastAsia"/>
          <w:kern w:val="0"/>
          <w:sz w:val="24"/>
          <w:szCs w:val="24"/>
          <w:lang w:val="en-US" w:eastAsia="zh-CN"/>
        </w:rPr>
        <w:t>浙江省大学生结构设计竞赛秘书处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Chars="0"/>
        <w:jc w:val="right"/>
        <w:textAlignment w:val="auto"/>
        <w:rPr>
          <w:rFonts w:hint="default"/>
          <w:kern w:val="0"/>
          <w:sz w:val="24"/>
          <w:szCs w:val="24"/>
          <w:lang w:val="en-US" w:eastAsia="zh-CN"/>
        </w:rPr>
      </w:pPr>
      <w:r>
        <w:rPr>
          <w:rFonts w:hint="eastAsia"/>
          <w:kern w:val="0"/>
          <w:sz w:val="24"/>
          <w:szCs w:val="24"/>
          <w:lang w:val="en-US" w:eastAsia="zh-CN"/>
        </w:rPr>
        <w:t>2022.02.21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/>
          <w:kern w:val="0"/>
          <w:sz w:val="24"/>
          <w:szCs w:val="24"/>
          <w:lang w:val="zh-CN"/>
        </w:rPr>
      </w:pPr>
    </w:p>
    <w:p>
      <w:pPr>
        <w:spacing w:line="300" w:lineRule="auto"/>
        <w:jc w:val="left"/>
        <w:rPr>
          <w:rFonts w:hint="eastAsia" w:ascii="黑体" w:hAnsi="黑体" w:eastAsia="黑体"/>
          <w:b/>
          <w:sz w:val="28"/>
          <w:szCs w:val="28"/>
        </w:rPr>
      </w:pPr>
    </w:p>
    <w:p/>
    <w:p>
      <w:pPr>
        <w:spacing w:line="360" w:lineRule="auto"/>
        <w:rPr>
          <w:rFonts w:hint="eastAsia" w:ascii="黑体" w:hAnsi="黑体" w:eastAsia="黑体"/>
          <w:b/>
          <w:sz w:val="28"/>
          <w:szCs w:val="28"/>
        </w:rPr>
      </w:pPr>
    </w:p>
    <w:p>
      <w:pPr>
        <w:spacing w:line="360" w:lineRule="auto"/>
        <w:rPr>
          <w:rFonts w:hint="eastAsia" w:ascii="黑体" w:hAnsi="黑体" w:eastAsia="黑体"/>
          <w:b/>
          <w:sz w:val="28"/>
          <w:szCs w:val="28"/>
        </w:rPr>
      </w:pPr>
    </w:p>
    <w:p>
      <w:pPr>
        <w:spacing w:line="360" w:lineRule="auto"/>
        <w:rPr>
          <w:rFonts w:hint="eastAsia" w:ascii="黑体" w:hAnsi="黑体" w:eastAsia="黑体"/>
          <w:b/>
          <w:sz w:val="28"/>
          <w:szCs w:val="28"/>
        </w:rPr>
      </w:pPr>
    </w:p>
    <w:p>
      <w:pPr>
        <w:spacing w:line="360" w:lineRule="auto"/>
        <w:rPr>
          <w:rFonts w:hint="eastAsia" w:ascii="黑体" w:hAnsi="黑体" w:eastAsia="黑体"/>
          <w:b/>
          <w:sz w:val="28"/>
          <w:szCs w:val="28"/>
        </w:rPr>
      </w:pPr>
    </w:p>
    <w:p/>
    <w:p/>
    <w:p/>
    <w:p/>
    <w:p/>
    <w:p/>
    <w:p/>
    <w:p/>
    <w:p/>
    <w:p/>
    <w:p/>
    <w:p/>
    <w:p>
      <w:pPr>
        <w:adjustRightInd w:val="0"/>
        <w:snapToGrid w:val="0"/>
        <w:spacing w:beforeLines="50" w:afterLines="50" w:line="360" w:lineRule="exact"/>
        <w:outlineLvl w:val="0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bookmarkStart w:id="30" w:name="_GoBack"/>
      <w:bookmarkEnd w:id="30"/>
      <w:r>
        <w:rPr>
          <w:rFonts w:hint="eastAsia"/>
          <w:sz w:val="24"/>
          <w:szCs w:val="24"/>
        </w:rPr>
        <w:t>附件2：</w:t>
      </w:r>
      <w:r>
        <w:rPr>
          <w:rFonts w:hint="eastAsia"/>
          <w:b/>
          <w:bCs/>
          <w:sz w:val="28"/>
          <w:szCs w:val="28"/>
        </w:rPr>
        <w:t>浙江</w:t>
      </w:r>
      <w:r>
        <w:rPr>
          <w:rFonts w:hint="eastAsia"/>
          <w:b/>
          <w:bCs/>
          <w:sz w:val="28"/>
          <w:szCs w:val="28"/>
          <w:lang w:val="en-US" w:eastAsia="zh-CN"/>
        </w:rPr>
        <w:t>大学</w:t>
      </w:r>
      <w:r>
        <w:rPr>
          <w:rFonts w:hint="eastAsia"/>
          <w:b/>
          <w:bCs/>
          <w:sz w:val="28"/>
          <w:szCs w:val="28"/>
        </w:rPr>
        <w:t>第二十</w:t>
      </w:r>
      <w:r>
        <w:rPr>
          <w:rFonts w:hint="eastAsia"/>
          <w:b/>
          <w:bCs/>
          <w:sz w:val="28"/>
          <w:szCs w:val="28"/>
          <w:lang w:val="en-US" w:eastAsia="zh-CN"/>
        </w:rPr>
        <w:t>二</w:t>
      </w:r>
      <w:r>
        <w:rPr>
          <w:rFonts w:hint="eastAsia"/>
          <w:b/>
          <w:bCs/>
          <w:sz w:val="28"/>
          <w:szCs w:val="28"/>
        </w:rPr>
        <w:t>届大学生结构设计竞赛理论方案</w:t>
      </w:r>
      <w:r>
        <w:rPr>
          <w:rFonts w:hint="eastAsia"/>
          <w:b/>
          <w:bCs/>
          <w:sz w:val="28"/>
          <w:szCs w:val="28"/>
          <w:lang w:val="en-US" w:eastAsia="zh-CN"/>
        </w:rPr>
        <w:t>模板</w:t>
      </w:r>
    </w:p>
    <w:p/>
    <w:p>
      <w:pPr>
        <w:tabs>
          <w:tab w:val="left" w:pos="2340"/>
          <w:tab w:val="left" w:pos="2880"/>
        </w:tabs>
      </w:pPr>
    </w:p>
    <w:p>
      <w:pPr>
        <w:jc w:val="center"/>
        <w:rPr>
          <w:rFonts w:eastAsia="黑体"/>
          <w:b/>
          <w:sz w:val="44"/>
          <w:szCs w:val="52"/>
        </w:rPr>
      </w:pPr>
      <w:r>
        <w:rPr>
          <w:rFonts w:hint="eastAsia" w:eastAsia="黑体"/>
          <w:b/>
          <w:sz w:val="44"/>
          <w:szCs w:val="52"/>
        </w:rPr>
        <w:t>浙江</w:t>
      </w:r>
      <w:r>
        <w:rPr>
          <w:rFonts w:hint="eastAsia" w:eastAsia="黑体"/>
          <w:b/>
          <w:sz w:val="44"/>
          <w:szCs w:val="52"/>
          <w:lang w:val="en-US" w:eastAsia="zh-CN"/>
        </w:rPr>
        <w:t>大学第</w:t>
      </w:r>
      <w:r>
        <w:rPr>
          <w:rFonts w:hint="eastAsia" w:eastAsia="黑体"/>
          <w:b/>
          <w:sz w:val="44"/>
          <w:szCs w:val="52"/>
        </w:rPr>
        <w:t>二十</w:t>
      </w:r>
      <w:r>
        <w:rPr>
          <w:rFonts w:hint="eastAsia" w:eastAsia="黑体"/>
          <w:b/>
          <w:sz w:val="44"/>
          <w:szCs w:val="52"/>
          <w:lang w:val="en-US" w:eastAsia="zh-CN"/>
        </w:rPr>
        <w:t>二</w:t>
      </w:r>
      <w:r>
        <w:rPr>
          <w:rFonts w:eastAsia="黑体"/>
          <w:b/>
          <w:sz w:val="44"/>
          <w:szCs w:val="52"/>
        </w:rPr>
        <w:t>届大学生</w:t>
      </w:r>
    </w:p>
    <w:p>
      <w:pPr>
        <w:jc w:val="center"/>
        <w:rPr>
          <w:rFonts w:eastAsia="黑体"/>
          <w:b/>
          <w:sz w:val="44"/>
          <w:szCs w:val="52"/>
        </w:rPr>
      </w:pPr>
      <w:r>
        <w:rPr>
          <w:rFonts w:eastAsia="黑体"/>
          <w:b/>
          <w:sz w:val="44"/>
          <w:szCs w:val="52"/>
        </w:rPr>
        <w:t>结构设计竞赛</w:t>
      </w:r>
    </w:p>
    <w:p>
      <w:pPr>
        <w:jc w:val="center"/>
        <w:rPr>
          <w:rFonts w:eastAsia="黑体"/>
          <w:b/>
          <w:sz w:val="44"/>
          <w:szCs w:val="52"/>
        </w:rPr>
      </w:pPr>
    </w:p>
    <w:p>
      <w:pPr>
        <w:jc w:val="center"/>
        <w:rPr>
          <w:rFonts w:eastAsia="黑体"/>
          <w:sz w:val="36"/>
          <w:szCs w:val="30"/>
        </w:rPr>
      </w:pPr>
      <w:r>
        <w:rPr>
          <w:rFonts w:hint="eastAsia" w:eastAsia="黑体"/>
          <w:sz w:val="36"/>
          <w:szCs w:val="30"/>
        </w:rPr>
        <w:t>不等跨双车道拉索桥</w:t>
      </w:r>
      <w:r>
        <w:rPr>
          <w:rFonts w:eastAsia="黑体"/>
          <w:sz w:val="36"/>
          <w:szCs w:val="30"/>
        </w:rPr>
        <w:t>结构模型设计与制作</w:t>
      </w:r>
    </w:p>
    <w:p>
      <w:pPr>
        <w:jc w:val="center"/>
        <w:rPr>
          <w:rFonts w:eastAsia="黑体"/>
          <w:sz w:val="36"/>
          <w:szCs w:val="30"/>
        </w:rPr>
      </w:pPr>
      <w:r>
        <w:rPr>
          <w:rFonts w:eastAsia="黑体"/>
          <w:sz w:val="36"/>
          <w:szCs w:val="30"/>
        </w:rPr>
        <w:t>方案设计及理论分析</w:t>
      </w:r>
    </w:p>
    <w:p>
      <w:pPr>
        <w:jc w:val="center"/>
        <w:rPr>
          <w:rFonts w:eastAsia="黑体"/>
          <w:sz w:val="36"/>
          <w:szCs w:val="30"/>
        </w:rPr>
      </w:pPr>
    </w:p>
    <w:p>
      <w:pPr>
        <w:jc w:val="center"/>
        <w:rPr>
          <w:rFonts w:hint="eastAsia" w:eastAsia="华文楷体"/>
          <w:b/>
          <w:sz w:val="44"/>
          <w:szCs w:val="84"/>
          <w:lang w:eastAsia="zh-CN"/>
        </w:rPr>
      </w:pPr>
      <w:r>
        <w:rPr>
          <w:rFonts w:hint="eastAsia" w:eastAsia="华文楷体"/>
          <w:b/>
          <w:sz w:val="44"/>
          <w:szCs w:val="84"/>
          <w:lang w:eastAsia="zh-CN"/>
        </w:rPr>
        <w:t>（</w:t>
      </w:r>
      <w:r>
        <w:rPr>
          <w:rFonts w:eastAsia="华文楷体"/>
          <w:b/>
          <w:sz w:val="44"/>
          <w:szCs w:val="84"/>
        </w:rPr>
        <w:t>模型名称</w:t>
      </w:r>
      <w:r>
        <w:rPr>
          <w:rFonts w:hint="eastAsia" w:eastAsia="华文楷体"/>
          <w:b/>
          <w:sz w:val="44"/>
          <w:szCs w:val="84"/>
          <w:lang w:eastAsia="zh-CN"/>
        </w:rPr>
        <w:t>）</w:t>
      </w:r>
    </w:p>
    <w:p>
      <w:pPr>
        <w:jc w:val="center"/>
        <w:rPr>
          <w:rFonts w:hint="eastAsia" w:eastAsia="华文楷体"/>
          <w:b/>
          <w:sz w:val="44"/>
          <w:szCs w:val="84"/>
          <w:lang w:eastAsia="zh-CN"/>
        </w:rPr>
      </w:pPr>
    </w:p>
    <w:p>
      <w:pPr>
        <w:jc w:val="center"/>
        <w:rPr>
          <w:rFonts w:hint="eastAsia" w:eastAsia="华文楷体"/>
          <w:b/>
          <w:sz w:val="44"/>
          <w:szCs w:val="84"/>
          <w:lang w:eastAsia="zh-CN"/>
        </w:rPr>
      </w:pPr>
    </w:p>
    <w:p>
      <w:pPr>
        <w:ind w:firstLine="640" w:firstLineChars="200"/>
        <w:jc w:val="left"/>
        <w:rPr>
          <w:rFonts w:hint="default" w:eastAsia="华文楷体"/>
          <w:b/>
          <w:sz w:val="32"/>
          <w:szCs w:val="84"/>
          <w:u w:val="singl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374650</wp:posOffset>
                </wp:positionV>
                <wp:extent cx="2641600" cy="0"/>
                <wp:effectExtent l="0" t="9525" r="6350" b="952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48280" y="4626610"/>
                          <a:ext cx="264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7.9pt;margin-top:29.5pt;height:0pt;width:208pt;z-index:251659264;mso-width-relative:page;mso-height-relative:page;" filled="f" stroked="t" coordsize="21600,21600" o:gfxdata="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mJQQ/YAAAACQEAAA8AAAAAAAAAAQAgAAAAIgAAAGRycy9kb3ducmV2LnhtbFBLAQIUABQA&#10;AAAIAIdO4kAXwgmk8AEAAL4DAAAOAAAAAAAAAAEAIAAAACcBAABkcnMvZTJvRG9jLnhtbFBLBQYA&#10;AAAABgAGAFkBAACJBQAA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华文楷体"/>
          <w:b/>
          <w:sz w:val="32"/>
          <w:szCs w:val="84"/>
          <w:lang w:val="en-US" w:eastAsia="zh-CN"/>
        </w:rPr>
        <w:t>学院或专业 ：</w:t>
      </w:r>
    </w:p>
    <w:p>
      <w:pPr>
        <w:ind w:firstLine="640" w:firstLineChars="200"/>
        <w:jc w:val="left"/>
        <w:rPr>
          <w:rFonts w:hint="eastAsia" w:eastAsia="华文楷体"/>
          <w:b/>
          <w:sz w:val="32"/>
          <w:szCs w:val="84"/>
          <w:u w:val="singl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308610</wp:posOffset>
                </wp:positionV>
                <wp:extent cx="2641600" cy="0"/>
                <wp:effectExtent l="0" t="9525" r="6350" b="95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8.9pt;margin-top:24.3pt;height:0pt;width:208pt;z-index:251661312;mso-width-relative:page;mso-height-relative:page;" filled="f" stroked="t" coordsize="21600,21600" o:gfxdata="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Qi64z2AAAAAkB&#10;AAAPAAAAAAAAAAEAIAAAACIAAABkcnMvZG93bnJldi54bWxQSwECFAAUAAAACACHTuJAHYOHJ+IB&#10;AACyAwAADgAAAAAAAAABACAAAAAnAQAAZHJzL2Uyb0RvYy54bWxQSwUGAAAAAAYABgBZAQAAewUA&#10;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华文楷体"/>
          <w:b/>
          <w:sz w:val="32"/>
          <w:szCs w:val="84"/>
          <w:lang w:val="en-US" w:eastAsia="zh-CN"/>
        </w:rPr>
        <w:t>队       长：</w:t>
      </w:r>
    </w:p>
    <w:p>
      <w:pPr>
        <w:ind w:firstLine="640" w:firstLineChars="200"/>
        <w:jc w:val="left"/>
        <w:rPr>
          <w:rFonts w:hint="eastAsia" w:eastAsia="华文楷体"/>
          <w:b/>
          <w:sz w:val="32"/>
          <w:szCs w:val="84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325120</wp:posOffset>
                </wp:positionV>
                <wp:extent cx="2641600" cy="0"/>
                <wp:effectExtent l="0" t="9525" r="6350" b="952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9pt;margin-top:25.6pt;height:0pt;width:208pt;z-index:251660288;mso-width-relative:page;mso-height-relative:page;" filled="f" stroked="t" coordsize="21600,21600" o:gfxdata="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dSNa3XAAAACQEA&#10;AA8AAAAAAAAAAQAgAAAAIgAAAGRycy9kb3ducmV2LnhtbFBLAQIUABQAAAAIAIdO4kDQBYSX4gEA&#10;ALIDAAAOAAAAAAAAAAEAIAAAACYBAABkcnMvZTJvRG9jLnhtbFBLBQYAAAAABgAGAFkBAAB6BQAA&#10;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华文楷体"/>
          <w:b/>
          <w:sz w:val="32"/>
          <w:szCs w:val="84"/>
          <w:lang w:val="en-US" w:eastAsia="zh-CN"/>
        </w:rPr>
        <w:t>联 系 方 式：</w:t>
      </w:r>
    </w:p>
    <w:p>
      <w:pPr>
        <w:ind w:firstLine="640" w:firstLineChars="200"/>
        <w:jc w:val="left"/>
        <w:rPr>
          <w:rFonts w:hint="default" w:eastAsia="华文楷体"/>
          <w:b/>
          <w:sz w:val="32"/>
          <w:szCs w:val="84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252730</wp:posOffset>
                </wp:positionV>
                <wp:extent cx="2641600" cy="0"/>
                <wp:effectExtent l="0" t="9525" r="6350" b="952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9.9pt;margin-top:19.9pt;height:0pt;width:208pt;z-index:251662336;mso-width-relative:page;mso-height-relative:page;" filled="f" stroked="t" coordsize="21600,21600" o:gfxdata="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ouV+LXAAAACQEA&#10;AA8AAAAAAAAAAQAgAAAAIgAAAGRycy9kb3ducmV2LnhtbFBLAQIUABQAAAAIAIdO4kALDvIs4gEA&#10;ALIDAAAOAAAAAAAAAAEAIAAAACYBAABkcnMvZTJvRG9jLnhtbFBLBQYAAAAABgAGAFkBAAB6BQAA&#10;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华文楷体"/>
          <w:b/>
          <w:sz w:val="32"/>
          <w:szCs w:val="84"/>
          <w:lang w:val="en-US" w:eastAsia="zh-CN"/>
        </w:rPr>
        <w:t>队       员：</w:t>
      </w:r>
    </w:p>
    <w:p>
      <w:pPr>
        <w:jc w:val="center"/>
        <w:rPr>
          <w:rFonts w:eastAsia="黑体"/>
          <w:sz w:val="36"/>
          <w:szCs w:val="30"/>
        </w:rPr>
      </w:pPr>
    </w:p>
    <w:p>
      <w:pPr>
        <w:tabs>
          <w:tab w:val="left" w:pos="5940"/>
        </w:tabs>
        <w:jc w:val="center"/>
        <w:rPr>
          <w:sz w:val="52"/>
          <w:szCs w:val="52"/>
        </w:rPr>
      </w:pPr>
    </w:p>
    <w:p>
      <w:pPr>
        <w:tabs>
          <w:tab w:val="left" w:pos="5940"/>
        </w:tabs>
        <w:jc w:val="center"/>
        <w:rPr>
          <w:sz w:val="52"/>
          <w:szCs w:val="52"/>
        </w:rPr>
      </w:pPr>
    </w:p>
    <w:p>
      <w:pPr>
        <w:tabs>
          <w:tab w:val="left" w:pos="5940"/>
        </w:tabs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浙江</w:t>
      </w:r>
      <w:r>
        <w:rPr>
          <w:b/>
          <w:sz w:val="30"/>
          <w:szCs w:val="30"/>
        </w:rPr>
        <w:t>大学</w:t>
      </w:r>
      <w:r>
        <w:rPr>
          <w:rFonts w:hint="eastAsia"/>
          <w:b/>
          <w:sz w:val="30"/>
          <w:szCs w:val="30"/>
          <w:lang w:val="en-US" w:eastAsia="zh-CN"/>
        </w:rPr>
        <w:t>大学生</w:t>
      </w:r>
      <w:r>
        <w:rPr>
          <w:b/>
          <w:sz w:val="30"/>
          <w:szCs w:val="30"/>
        </w:rPr>
        <w:t>结构设计竞赛组委会</w:t>
      </w:r>
    </w:p>
    <w:p>
      <w:pPr>
        <w:tabs>
          <w:tab w:val="left" w:pos="5940"/>
        </w:tabs>
        <w:jc w:val="center"/>
        <w:rPr>
          <w:sz w:val="28"/>
          <w:szCs w:val="28"/>
        </w:rPr>
      </w:pPr>
      <w:r>
        <w:rPr>
          <w:b/>
          <w:sz w:val="30"/>
          <w:szCs w:val="30"/>
        </w:rPr>
        <w:t>20</w:t>
      </w:r>
      <w:r>
        <w:rPr>
          <w:rFonts w:hint="eastAsia"/>
          <w:b/>
          <w:sz w:val="30"/>
          <w:szCs w:val="30"/>
        </w:rPr>
        <w:t>22</w:t>
      </w:r>
      <w:r>
        <w:rPr>
          <w:b/>
          <w:sz w:val="30"/>
          <w:szCs w:val="30"/>
        </w:rPr>
        <w:t>年</w:t>
      </w:r>
      <w:r>
        <w:rPr>
          <w:rFonts w:hint="eastAsia"/>
          <w:b/>
          <w:sz w:val="30"/>
          <w:szCs w:val="30"/>
          <w:lang w:val="en-US" w:eastAsia="zh-CN"/>
        </w:rPr>
        <w:t>2</w:t>
      </w:r>
      <w:r>
        <w:rPr>
          <w:b/>
          <w:sz w:val="30"/>
          <w:szCs w:val="30"/>
        </w:rPr>
        <w:t>月</w:t>
      </w:r>
    </w:p>
    <w:p>
      <w:pPr>
        <w:pStyle w:val="11"/>
        <w:spacing w:beforeLines="50" w:afterLines="50" w:line="360" w:lineRule="auto"/>
        <w:jc w:val="center"/>
        <w:rPr>
          <w:rFonts w:ascii="Times New Roman" w:hAnsi="Times New Roman"/>
          <w:color w:val="auto"/>
          <w:sz w:val="44"/>
          <w:lang w:val="zh-CN"/>
        </w:rPr>
      </w:pPr>
    </w:p>
    <w:p>
      <w:pPr>
        <w:pStyle w:val="11"/>
        <w:spacing w:beforeLines="50" w:afterLines="50" w:line="360" w:lineRule="auto"/>
        <w:jc w:val="center"/>
        <w:rPr>
          <w:rFonts w:ascii="Times New Roman" w:hAnsi="Times New Roman"/>
          <w:color w:val="auto"/>
          <w:sz w:val="44"/>
          <w:lang w:val="zh-CN"/>
        </w:rPr>
      </w:pPr>
      <w:r>
        <w:rPr>
          <w:rFonts w:ascii="Times New Roman" w:hAnsi="Times New Roman"/>
          <w:color w:val="auto"/>
          <w:sz w:val="44"/>
          <w:lang w:val="zh-CN"/>
        </w:rPr>
        <w:t>目录</w:t>
      </w:r>
    </w:p>
    <w:p>
      <w:pPr>
        <w:rPr>
          <w:lang w:val="zh-CN"/>
        </w:rPr>
      </w:pPr>
    </w:p>
    <w:p>
      <w:pPr>
        <w:pStyle w:val="4"/>
        <w:tabs>
          <w:tab w:val="left" w:pos="84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fldChar w:fldCharType="begin"/>
      </w:r>
      <w:r>
        <w:instrText xml:space="preserve"> HYPERLINK \l "_Toc521411321" </w:instrText>
      </w:r>
      <w:r>
        <w:fldChar w:fldCharType="separate"/>
      </w:r>
      <w:r>
        <w:rPr>
          <w:rStyle w:val="9"/>
          <w:sz w:val="28"/>
          <w:szCs w:val="28"/>
        </w:rPr>
        <w:t>1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结构选型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_Toc521411321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tabs>
          <w:tab w:val="left" w:pos="126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"_Toc521411322" </w:instrText>
      </w:r>
      <w:r>
        <w:fldChar w:fldCharType="separate"/>
      </w:r>
      <w:r>
        <w:rPr>
          <w:rStyle w:val="9"/>
          <w:sz w:val="28"/>
          <w:szCs w:val="28"/>
        </w:rPr>
        <w:t>1.1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方案构思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_Toc521411322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tabs>
          <w:tab w:val="left" w:pos="126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"_Toc521411323" </w:instrText>
      </w:r>
      <w:r>
        <w:fldChar w:fldCharType="separate"/>
      </w:r>
      <w:r>
        <w:rPr>
          <w:rStyle w:val="9"/>
          <w:sz w:val="28"/>
          <w:szCs w:val="28"/>
        </w:rPr>
        <w:t>1.2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不同选型对比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_Toc521411323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4"/>
        <w:tabs>
          <w:tab w:val="left" w:pos="84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"_Toc521411324" </w:instrText>
      </w:r>
      <w:r>
        <w:fldChar w:fldCharType="separate"/>
      </w:r>
      <w:r>
        <w:rPr>
          <w:rStyle w:val="9"/>
          <w:sz w:val="28"/>
          <w:szCs w:val="28"/>
        </w:rPr>
        <w:t>2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结构建模及主要参数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_Toc521411324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tabs>
          <w:tab w:val="left" w:pos="126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"_Toc521411325" </w:instrText>
      </w:r>
      <w:r>
        <w:fldChar w:fldCharType="separate"/>
      </w:r>
      <w:r>
        <w:rPr>
          <w:rStyle w:val="9"/>
          <w:sz w:val="28"/>
          <w:szCs w:val="28"/>
        </w:rPr>
        <w:t>2.1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**软件名称**结构模型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_Toc521411325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tabs>
          <w:tab w:val="left" w:pos="126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"_Toc521411326" </w:instrText>
      </w:r>
      <w:r>
        <w:fldChar w:fldCharType="separate"/>
      </w:r>
      <w:r>
        <w:rPr>
          <w:rStyle w:val="9"/>
          <w:sz w:val="28"/>
          <w:szCs w:val="28"/>
        </w:rPr>
        <w:t>2.2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结构分析中的主要参数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_Toc521411326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4"/>
        <w:tabs>
          <w:tab w:val="left" w:pos="84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"_Toc521411327" </w:instrText>
      </w:r>
      <w:r>
        <w:fldChar w:fldCharType="separate"/>
      </w:r>
      <w:r>
        <w:rPr>
          <w:rStyle w:val="9"/>
          <w:sz w:val="28"/>
          <w:szCs w:val="28"/>
        </w:rPr>
        <w:t>3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受荷分析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_Toc521411327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tabs>
          <w:tab w:val="left" w:pos="126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"_Toc521411328" </w:instrText>
      </w:r>
      <w:r>
        <w:fldChar w:fldCharType="separate"/>
      </w:r>
      <w:r>
        <w:rPr>
          <w:rStyle w:val="9"/>
          <w:sz w:val="28"/>
          <w:szCs w:val="28"/>
        </w:rPr>
        <w:t>3.1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内力分析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_Toc521411328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tabs>
          <w:tab w:val="left" w:pos="126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"_Toc521411329" </w:instrText>
      </w:r>
      <w:r>
        <w:fldChar w:fldCharType="separate"/>
      </w:r>
      <w:r>
        <w:rPr>
          <w:rStyle w:val="9"/>
          <w:sz w:val="28"/>
          <w:szCs w:val="28"/>
        </w:rPr>
        <w:t>3.2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变形分析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15-</w:t>
      </w:r>
    </w:p>
    <w:p>
      <w:pPr>
        <w:pStyle w:val="5"/>
        <w:tabs>
          <w:tab w:val="left" w:pos="126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"_Toc521411330" </w:instrText>
      </w:r>
      <w:r>
        <w:fldChar w:fldCharType="separate"/>
      </w:r>
      <w:r>
        <w:rPr>
          <w:rStyle w:val="9"/>
          <w:sz w:val="28"/>
          <w:szCs w:val="28"/>
        </w:rPr>
        <w:t>3.3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承载力分析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_Toc521411330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tabs>
          <w:tab w:val="left" w:pos="126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"_Toc521411331" </w:instrText>
      </w:r>
      <w:r>
        <w:fldChar w:fldCharType="separate"/>
      </w:r>
      <w:r>
        <w:rPr>
          <w:rStyle w:val="9"/>
          <w:sz w:val="28"/>
          <w:szCs w:val="28"/>
        </w:rPr>
        <w:t>3.4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小结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_Toc521411331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4"/>
        <w:tabs>
          <w:tab w:val="left" w:pos="840"/>
          <w:tab w:val="right" w:leader="dot" w:pos="8494"/>
        </w:tabs>
        <w:adjustRightInd/>
        <w:spacing w:line="480" w:lineRule="auto"/>
        <w:ind w:firstLine="0" w:firstLineChars="0"/>
        <w:rPr>
          <w:kern w:val="2"/>
          <w:sz w:val="28"/>
          <w:szCs w:val="28"/>
        </w:rPr>
      </w:pPr>
      <w:r>
        <w:fldChar w:fldCharType="begin"/>
      </w:r>
      <w:r>
        <w:instrText xml:space="preserve"> HYPERLINK \l "_Toc521411332" </w:instrText>
      </w:r>
      <w:r>
        <w:fldChar w:fldCharType="separate"/>
      </w:r>
      <w:r>
        <w:rPr>
          <w:rStyle w:val="9"/>
          <w:sz w:val="28"/>
          <w:szCs w:val="28"/>
        </w:rPr>
        <w:t>4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节点构造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_Toc521411332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4"/>
        <w:tabs>
          <w:tab w:val="left" w:pos="840"/>
          <w:tab w:val="right" w:leader="dot" w:pos="8494"/>
        </w:tabs>
        <w:adjustRightInd/>
        <w:spacing w:line="480" w:lineRule="auto"/>
        <w:ind w:firstLine="0" w:firstLineChars="0"/>
        <w:rPr>
          <w:rFonts w:ascii="Calibri" w:hAnsi="Calibri"/>
          <w:kern w:val="2"/>
          <w:sz w:val="28"/>
          <w:szCs w:val="28"/>
        </w:rPr>
      </w:pPr>
      <w:r>
        <w:fldChar w:fldCharType="begin"/>
      </w:r>
      <w:r>
        <w:instrText xml:space="preserve"> HYPERLINK \l "_Toc521411333" </w:instrText>
      </w:r>
      <w:r>
        <w:fldChar w:fldCharType="separate"/>
      </w:r>
      <w:r>
        <w:rPr>
          <w:rStyle w:val="9"/>
          <w:sz w:val="28"/>
          <w:szCs w:val="28"/>
        </w:rPr>
        <w:t>5</w:t>
      </w:r>
      <w:r>
        <w:rPr>
          <w:kern w:val="2"/>
          <w:sz w:val="28"/>
          <w:szCs w:val="28"/>
        </w:rPr>
        <w:tab/>
      </w:r>
      <w:r>
        <w:rPr>
          <w:rStyle w:val="9"/>
          <w:sz w:val="28"/>
          <w:szCs w:val="28"/>
        </w:rPr>
        <w:t>模型尺寸图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_Toc521411333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rPr>
          <w:sz w:val="24"/>
          <w:szCs w:val="24"/>
        </w:rPr>
      </w:pPr>
      <w:r>
        <w:rPr>
          <w:b/>
          <w:bCs/>
          <w:sz w:val="28"/>
          <w:szCs w:val="28"/>
          <w:lang w:val="zh-CN"/>
        </w:rPr>
        <w:fldChar w:fldCharType="end"/>
      </w:r>
    </w:p>
    <w:p>
      <w:pPr>
        <w:rPr>
          <w:color w:val="000000"/>
          <w:sz w:val="24"/>
          <w:szCs w:val="24"/>
        </w:rPr>
      </w:pPr>
      <w:r>
        <w:rPr>
          <w:sz w:val="52"/>
          <w:szCs w:val="52"/>
        </w:rPr>
        <w:br w:type="page"/>
      </w:r>
    </w:p>
    <w:p>
      <w:pPr>
        <w:widowControl/>
        <w:autoSpaceDE w:val="0"/>
        <w:autoSpaceDN w:val="0"/>
        <w:adjustRightInd w:val="0"/>
        <w:spacing w:line="360" w:lineRule="auto"/>
        <w:jc w:val="center"/>
        <w:outlineLvl w:val="0"/>
        <w:rPr>
          <w:rFonts w:ascii="Calibri" w:hAnsi="Calibri" w:eastAsia="华文楷体"/>
          <w:sz w:val="32"/>
          <w:szCs w:val="32"/>
        </w:rPr>
      </w:pPr>
      <w:bookmarkStart w:id="0" w:name="_Toc432409554"/>
      <w:bookmarkStart w:id="1" w:name="_Toc432409695"/>
      <w:bookmarkStart w:id="2" w:name="_Toc521411321"/>
      <w:r>
        <w:rPr>
          <w:rFonts w:hint="eastAsia" w:ascii="Calibri" w:hAnsi="Calibri" w:eastAsia="华文楷体"/>
          <w:sz w:val="32"/>
          <w:szCs w:val="32"/>
        </w:rPr>
        <w:t xml:space="preserve">1 </w:t>
      </w:r>
      <w:r>
        <w:rPr>
          <w:rFonts w:ascii="Calibri" w:hAnsi="Calibri" w:eastAsia="华文楷体"/>
          <w:sz w:val="32"/>
          <w:szCs w:val="32"/>
        </w:rPr>
        <w:t>结构选型</w:t>
      </w:r>
      <w:bookmarkEnd w:id="0"/>
      <w:bookmarkEnd w:id="1"/>
      <w:bookmarkEnd w:id="2"/>
      <w:r>
        <w:rPr>
          <w:rFonts w:hint="eastAsia" w:ascii="Calibri" w:hAnsi="Calibri" w:eastAsia="华文楷体"/>
          <w:sz w:val="32"/>
          <w:szCs w:val="32"/>
        </w:rPr>
        <w:t>（楷体三号）</w:t>
      </w:r>
    </w:p>
    <w:p>
      <w:pPr>
        <w:widowControl/>
        <w:numPr>
          <w:ilvl w:val="1"/>
          <w:numId w:val="2"/>
        </w:numPr>
        <w:autoSpaceDE w:val="0"/>
        <w:autoSpaceDN w:val="0"/>
        <w:adjustRightInd w:val="0"/>
        <w:spacing w:line="360" w:lineRule="auto"/>
        <w:jc w:val="left"/>
        <w:outlineLvl w:val="1"/>
        <w:rPr>
          <w:rFonts w:ascii="Calibri" w:hAnsi="Calibri" w:eastAsia="华文楷体"/>
          <w:sz w:val="28"/>
          <w:szCs w:val="24"/>
        </w:rPr>
      </w:pPr>
      <w:bookmarkStart w:id="3" w:name="_Toc432409555"/>
      <w:bookmarkStart w:id="4" w:name="_Toc432409696"/>
      <w:bookmarkStart w:id="5" w:name="_Toc521411322"/>
      <w:r>
        <w:rPr>
          <w:rFonts w:ascii="Calibri" w:hAnsi="Calibri" w:eastAsia="华文楷体"/>
          <w:sz w:val="28"/>
          <w:szCs w:val="24"/>
        </w:rPr>
        <w:t>方案构思</w:t>
      </w:r>
      <w:bookmarkEnd w:id="3"/>
      <w:bookmarkEnd w:id="4"/>
      <w:bookmarkEnd w:id="5"/>
      <w:r>
        <w:rPr>
          <w:rFonts w:hint="eastAsia" w:ascii="Calibri" w:hAnsi="Calibri" w:eastAsia="华文楷体"/>
          <w:sz w:val="28"/>
          <w:szCs w:val="24"/>
        </w:rPr>
        <w:t>（楷体四号）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本赛题</w:t>
      </w:r>
      <w:r>
        <w:rPr>
          <w:rFonts w:hint="eastAsia"/>
          <w:sz w:val="24"/>
          <w:szCs w:val="24"/>
        </w:rPr>
        <w:t>*</w:t>
      </w:r>
      <w:r>
        <w:rPr>
          <w:sz w:val="24"/>
          <w:szCs w:val="24"/>
        </w:rPr>
        <w:t>****，因此，我们从</w:t>
      </w:r>
      <w:r>
        <w:rPr>
          <w:rFonts w:hint="eastAsia"/>
          <w:sz w:val="24"/>
          <w:szCs w:val="24"/>
        </w:rPr>
        <w:t>*</w:t>
      </w:r>
      <w:r>
        <w:rPr>
          <w:sz w:val="24"/>
          <w:szCs w:val="24"/>
        </w:rPr>
        <w:t>****等方面对结构方案进行构思。</w:t>
      </w:r>
      <w:r>
        <w:rPr>
          <w:rFonts w:hint="eastAsia"/>
          <w:sz w:val="24"/>
          <w:szCs w:val="24"/>
        </w:rPr>
        <w:t>（正文字体字号为小四，中文字体宋体，英文字体Time</w:t>
      </w:r>
      <w:r>
        <w:rPr>
          <w:sz w:val="24"/>
          <w:szCs w:val="24"/>
        </w:rPr>
        <w:t xml:space="preserve"> New Romans</w:t>
      </w:r>
      <w:r>
        <w:rPr>
          <w:rFonts w:hint="eastAsia"/>
          <w:sz w:val="24"/>
          <w:szCs w:val="24"/>
        </w:rPr>
        <w:t>，1</w:t>
      </w:r>
      <w:r>
        <w:rPr>
          <w:sz w:val="24"/>
          <w:szCs w:val="24"/>
        </w:rPr>
        <w:t>.5</w:t>
      </w:r>
      <w:r>
        <w:rPr>
          <w:rFonts w:hint="eastAsia"/>
          <w:sz w:val="24"/>
          <w:szCs w:val="24"/>
        </w:rPr>
        <w:t>倍行距）</w:t>
      </w:r>
    </w:p>
    <w:p>
      <w:pPr>
        <w:widowControl/>
        <w:numPr>
          <w:ilvl w:val="0"/>
          <w:numId w:val="3"/>
        </w:numPr>
        <w:autoSpaceDE w:val="0"/>
        <w:autoSpaceDN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rFonts w:hint="eastAsia"/>
          <w:b/>
          <w:kern w:val="0"/>
          <w:sz w:val="24"/>
          <w:szCs w:val="24"/>
        </w:rPr>
        <w:t>*</w:t>
      </w:r>
      <w:r>
        <w:rPr>
          <w:b/>
          <w:kern w:val="0"/>
          <w:sz w:val="24"/>
          <w:szCs w:val="24"/>
        </w:rPr>
        <w:t>***</w:t>
      </w:r>
    </w:p>
    <w:p>
      <w:pPr>
        <w:widowControl/>
        <w:numPr>
          <w:ilvl w:val="0"/>
          <w:numId w:val="3"/>
        </w:numPr>
        <w:autoSpaceDE w:val="0"/>
        <w:autoSpaceDN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rFonts w:hint="eastAsia"/>
          <w:b/>
          <w:kern w:val="0"/>
          <w:sz w:val="24"/>
          <w:szCs w:val="24"/>
        </w:rPr>
        <w:t>*</w:t>
      </w:r>
      <w:r>
        <w:rPr>
          <w:b/>
          <w:kern w:val="0"/>
          <w:sz w:val="24"/>
          <w:szCs w:val="24"/>
        </w:rPr>
        <w:t>*****。</w:t>
      </w:r>
      <w:bookmarkStart w:id="6" w:name="_Toc306479462"/>
      <w:bookmarkStart w:id="7" w:name="_Toc306479135"/>
    </w:p>
    <w:bookmarkEnd w:id="6"/>
    <w:bookmarkEnd w:id="7"/>
    <w:p>
      <w:pPr>
        <w:widowControl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rFonts w:hint="eastAsia"/>
          <w:b/>
          <w:kern w:val="0"/>
          <w:sz w:val="24"/>
          <w:szCs w:val="24"/>
        </w:rPr>
        <w:t>*</w:t>
      </w:r>
      <w:r>
        <w:rPr>
          <w:b/>
          <w:kern w:val="0"/>
          <w:sz w:val="24"/>
          <w:szCs w:val="24"/>
        </w:rPr>
        <w:t>***</w:t>
      </w:r>
    </w:p>
    <w:p>
      <w:pPr>
        <w:widowControl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rFonts w:hint="eastAsia"/>
          <w:b/>
          <w:kern w:val="0"/>
          <w:sz w:val="24"/>
          <w:szCs w:val="24"/>
        </w:rPr>
        <w:t>*</w:t>
      </w:r>
      <w:r>
        <w:rPr>
          <w:b/>
          <w:kern w:val="0"/>
          <w:sz w:val="24"/>
          <w:szCs w:val="24"/>
        </w:rPr>
        <w:t xml:space="preserve">****** </w:t>
      </w:r>
    </w:p>
    <w:p>
      <w:pPr>
        <w:rPr>
          <w:sz w:val="24"/>
          <w:szCs w:val="24"/>
        </w:rPr>
      </w:pPr>
    </w:p>
    <w:p>
      <w:pPr>
        <w:widowControl/>
        <w:numPr>
          <w:ilvl w:val="1"/>
          <w:numId w:val="2"/>
        </w:numPr>
        <w:autoSpaceDE w:val="0"/>
        <w:autoSpaceDN w:val="0"/>
        <w:adjustRightInd w:val="0"/>
        <w:spacing w:line="360" w:lineRule="auto"/>
        <w:jc w:val="left"/>
        <w:outlineLvl w:val="1"/>
        <w:rPr>
          <w:rFonts w:ascii="Calibri" w:hAnsi="Calibri" w:eastAsia="华文楷体"/>
          <w:sz w:val="28"/>
          <w:szCs w:val="24"/>
        </w:rPr>
      </w:pPr>
      <w:bookmarkStart w:id="8" w:name="_Toc432409697"/>
      <w:bookmarkStart w:id="9" w:name="_Toc432409556"/>
      <w:bookmarkStart w:id="10" w:name="_Toc521411323"/>
      <w:r>
        <w:rPr>
          <w:rFonts w:hint="eastAsia" w:ascii="Calibri" w:hAnsi="Calibri" w:eastAsia="华文楷体"/>
          <w:sz w:val="28"/>
          <w:szCs w:val="24"/>
        </w:rPr>
        <w:t>不同选型对比</w:t>
      </w:r>
      <w:bookmarkEnd w:id="8"/>
      <w:bookmarkEnd w:id="9"/>
      <w:bookmarkEnd w:id="10"/>
    </w:p>
    <w:p>
      <w:pPr>
        <w:rPr>
          <w:sz w:val="24"/>
          <w:szCs w:val="24"/>
        </w:rPr>
      </w:pPr>
      <w:r>
        <w:rPr>
          <w:sz w:val="24"/>
          <w:szCs w:val="24"/>
        </w:rPr>
        <w:t>******。</w:t>
      </w:r>
    </w:p>
    <w:p>
      <w:pPr>
        <w:widowControl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b/>
          <w:kern w:val="0"/>
          <w:sz w:val="24"/>
          <w:szCs w:val="24"/>
        </w:rPr>
        <w:t>选型1</w:t>
      </w:r>
    </w:p>
    <w:p>
      <w:pPr>
        <w:ind w:left="360"/>
        <w:rPr>
          <w:sz w:val="24"/>
          <w:szCs w:val="24"/>
        </w:rPr>
      </w:pPr>
      <w:r>
        <w:rPr>
          <w:sz w:val="24"/>
          <w:szCs w:val="24"/>
        </w:rPr>
        <w:t>*********</w:t>
      </w:r>
    </w:p>
    <w:p>
      <w:pPr>
        <w:widowControl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b/>
          <w:kern w:val="0"/>
          <w:sz w:val="24"/>
          <w:szCs w:val="24"/>
        </w:rPr>
        <w:t>选型2</w:t>
      </w:r>
    </w:p>
    <w:p>
      <w:pPr>
        <w:ind w:left="360"/>
        <w:rPr>
          <w:sz w:val="24"/>
          <w:szCs w:val="24"/>
        </w:rPr>
      </w:pPr>
      <w:r>
        <w:rPr>
          <w:sz w:val="24"/>
          <w:szCs w:val="24"/>
        </w:rPr>
        <w:t>**********</w:t>
      </w:r>
    </w:p>
    <w:p>
      <w:pPr>
        <w:widowControl/>
        <w:autoSpaceDE w:val="0"/>
        <w:autoSpaceDN w:val="0"/>
        <w:adjustRightInd w:val="0"/>
        <w:spacing w:line="360" w:lineRule="auto"/>
        <w:ind w:left="336"/>
        <w:jc w:val="left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表1-</w:t>
      </w:r>
      <w:r>
        <w:rPr>
          <w:kern w:val="0"/>
          <w:sz w:val="24"/>
          <w:szCs w:val="24"/>
        </w:rPr>
        <w:t>1</w:t>
      </w:r>
      <w:r>
        <w:rPr>
          <w:rFonts w:hint="eastAsia"/>
          <w:kern w:val="0"/>
          <w:sz w:val="24"/>
          <w:szCs w:val="24"/>
        </w:rPr>
        <w:t>中列出了*</w:t>
      </w:r>
      <w:r>
        <w:rPr>
          <w:kern w:val="0"/>
          <w:sz w:val="24"/>
          <w:szCs w:val="24"/>
        </w:rPr>
        <w:t>****</w:t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表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-</w:t>
      </w:r>
      <w:r>
        <w:rPr>
          <w:kern w:val="0"/>
          <w:szCs w:val="21"/>
        </w:rPr>
        <w:t>1. ******</w:t>
      </w:r>
      <w:r>
        <w:rPr>
          <w:rFonts w:hint="eastAsia"/>
          <w:kern w:val="0"/>
          <w:szCs w:val="21"/>
        </w:rPr>
        <w:t xml:space="preserve">（所有图表须有编号，表名及表内字体为五号，字体中英文类型同正文，表格格式为三线表，参考 </w:t>
      </w:r>
      <w:r>
        <w:fldChar w:fldCharType="begin"/>
      </w:r>
      <w:r>
        <w:instrText xml:space="preserve"> HYPERLINK "https://baike.baidu.com/item/三线表" </w:instrText>
      </w:r>
      <w:r>
        <w:fldChar w:fldCharType="separate"/>
      </w:r>
      <w:r>
        <w:rPr>
          <w:rFonts w:hint="eastAsia"/>
          <w:color w:val="0000FF"/>
          <w:kern w:val="0"/>
          <w:u w:val="single"/>
        </w:rPr>
        <w:t>https://baike.baidu.com/item/三线表</w:t>
      </w:r>
      <w:r>
        <w:rPr>
          <w:rFonts w:hint="eastAsia"/>
          <w:color w:val="0000FF"/>
          <w:kern w:val="0"/>
          <w:u w:val="single"/>
        </w:rPr>
        <w:fldChar w:fldCharType="end"/>
      </w:r>
      <w:r>
        <w:rPr>
          <w:rFonts w:hint="eastAsia"/>
          <w:kern w:val="0"/>
          <w:szCs w:val="21"/>
        </w:rPr>
        <w:t>）</w:t>
      </w:r>
    </w:p>
    <w:tbl>
      <w:tblPr>
        <w:tblStyle w:val="6"/>
        <w:tblW w:w="917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2453"/>
        <w:gridCol w:w="2809"/>
        <w:gridCol w:w="26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选型1</w:t>
            </w:r>
          </w:p>
        </w:tc>
        <w:tc>
          <w:tcPr>
            <w:tcW w:w="28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选型2</w:t>
            </w:r>
          </w:p>
        </w:tc>
        <w:tc>
          <w:tcPr>
            <w:tcW w:w="264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选型3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6" w:type="dxa"/>
            <w:tcBorders>
              <w:top w:val="single" w:color="auto" w:sz="4" w:space="0"/>
            </w:tcBorders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优点</w:t>
            </w:r>
          </w:p>
        </w:tc>
        <w:tc>
          <w:tcPr>
            <w:tcW w:w="2453" w:type="dxa"/>
            <w:tcBorders>
              <w:top w:val="single" w:color="auto" w:sz="4" w:space="0"/>
            </w:tcBorders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**</w:t>
            </w:r>
          </w:p>
        </w:tc>
        <w:tc>
          <w:tcPr>
            <w:tcW w:w="2809" w:type="dxa"/>
            <w:tcBorders>
              <w:top w:val="single" w:color="auto" w:sz="4" w:space="0"/>
            </w:tcBorders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**</w:t>
            </w:r>
          </w:p>
        </w:tc>
        <w:tc>
          <w:tcPr>
            <w:tcW w:w="2646" w:type="dxa"/>
            <w:tcBorders>
              <w:top w:val="single" w:color="auto" w:sz="4" w:space="0"/>
            </w:tcBorders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**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6" w:type="dxa"/>
            <w:tcBorders>
              <w:bottom w:val="single" w:color="auto" w:sz="4" w:space="0"/>
            </w:tcBorders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缺点</w:t>
            </w:r>
          </w:p>
        </w:tc>
        <w:tc>
          <w:tcPr>
            <w:tcW w:w="2453" w:type="dxa"/>
            <w:tcBorders>
              <w:bottom w:val="single" w:color="auto" w:sz="4" w:space="0"/>
            </w:tcBorders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**</w:t>
            </w:r>
          </w:p>
        </w:tc>
        <w:tc>
          <w:tcPr>
            <w:tcW w:w="2809" w:type="dxa"/>
            <w:tcBorders>
              <w:bottom w:val="single" w:color="auto" w:sz="4" w:space="0"/>
            </w:tcBorders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**</w:t>
            </w:r>
          </w:p>
        </w:tc>
        <w:tc>
          <w:tcPr>
            <w:tcW w:w="2646" w:type="dxa"/>
            <w:tcBorders>
              <w:bottom w:val="single" w:color="auto" w:sz="4" w:space="0"/>
            </w:tcBorders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**</w:t>
            </w:r>
          </w:p>
        </w:tc>
      </w:tr>
    </w:tbl>
    <w:p>
      <w:pPr>
        <w:ind w:firstLine="480"/>
        <w:rPr>
          <w:sz w:val="24"/>
          <w:szCs w:val="24"/>
        </w:rPr>
      </w:pPr>
      <w:r>
        <w:rPr>
          <w:sz w:val="24"/>
          <w:szCs w:val="24"/>
        </w:rPr>
        <w:t>总结：综合对比</w:t>
      </w:r>
      <w:r>
        <w:rPr>
          <w:rFonts w:hint="eastAsia"/>
          <w:sz w:val="24"/>
          <w:szCs w:val="24"/>
        </w:rPr>
        <w:t>:</w:t>
      </w:r>
      <w:r>
        <w:rPr>
          <w:sz w:val="24"/>
          <w:szCs w:val="24"/>
        </w:rPr>
        <w:t>********</w:t>
      </w:r>
      <w:r>
        <w:rPr>
          <w:rFonts w:hint="eastAsia"/>
          <w:sz w:val="24"/>
          <w:szCs w:val="24"/>
        </w:rPr>
        <w:t>*</w:t>
      </w:r>
      <w:r>
        <w:rPr>
          <w:sz w:val="24"/>
          <w:szCs w:val="24"/>
        </w:rPr>
        <w:t>*******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最终确定的方案效果图及模型实物图</w:t>
      </w:r>
      <w:r>
        <w:rPr>
          <w:rFonts w:hint="eastAsia"/>
          <w:sz w:val="24"/>
          <w:szCs w:val="24"/>
        </w:rPr>
        <w:t>*</w:t>
      </w:r>
      <w:r>
        <w:rPr>
          <w:sz w:val="24"/>
          <w:szCs w:val="24"/>
        </w:rPr>
        <w:t>**</w:t>
      </w:r>
      <w:r>
        <w:rPr>
          <w:rFonts w:hint="eastAsia"/>
          <w:sz w:val="24"/>
          <w:szCs w:val="24"/>
        </w:rPr>
        <w:t>所示</w:t>
      </w:r>
      <w:r>
        <w:rPr>
          <w:sz w:val="24"/>
          <w:szCs w:val="24"/>
        </w:rPr>
        <w:t>：</w:t>
      </w:r>
    </w:p>
    <w:tbl>
      <w:tblPr>
        <w:tblStyle w:val="6"/>
        <w:tblW w:w="830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</w:tcPr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a) 模型效果图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</w:tcPr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b) 模型实物图</w:t>
            </w:r>
          </w:p>
        </w:tc>
      </w:tr>
    </w:tbl>
    <w:p>
      <w:pPr>
        <w:ind w:firstLine="420"/>
        <w:jc w:val="center"/>
        <w:rPr>
          <w:szCs w:val="24"/>
        </w:rPr>
      </w:pPr>
      <w:r>
        <w:rPr>
          <w:rFonts w:hint="eastAsia"/>
          <w:szCs w:val="24"/>
        </w:rPr>
        <w:t>图1-</w:t>
      </w:r>
      <w:r>
        <w:rPr>
          <w:szCs w:val="24"/>
        </w:rPr>
        <w:t>1. ******</w:t>
      </w:r>
      <w:r>
        <w:rPr>
          <w:rFonts w:hint="eastAsia"/>
          <w:szCs w:val="21"/>
        </w:rPr>
        <w:t>（图名字体为五号，字体中英文类型同正文）</w:t>
      </w:r>
    </w:p>
    <w:p>
      <w:pPr>
        <w:rPr>
          <w:color w:val="000000"/>
          <w:sz w:val="24"/>
          <w:szCs w:val="24"/>
        </w:rPr>
      </w:pPr>
      <w:r>
        <w:rPr>
          <w:rFonts w:eastAsia="华文楷体"/>
          <w:sz w:val="32"/>
          <w:szCs w:val="32"/>
        </w:rPr>
        <w:br w:type="page"/>
      </w:r>
    </w:p>
    <w:p>
      <w:pPr>
        <w:pStyle w:val="12"/>
        <w:widowControl/>
        <w:autoSpaceDE w:val="0"/>
        <w:autoSpaceDN w:val="0"/>
        <w:adjustRightInd w:val="0"/>
        <w:spacing w:line="360" w:lineRule="auto"/>
        <w:ind w:firstLine="0" w:firstLineChars="0"/>
        <w:jc w:val="center"/>
        <w:outlineLvl w:val="0"/>
        <w:rPr>
          <w:rFonts w:eastAsia="华文楷体"/>
          <w:sz w:val="32"/>
          <w:szCs w:val="32"/>
        </w:rPr>
      </w:pPr>
      <w:bookmarkStart w:id="11" w:name="_Toc521411324"/>
      <w:r>
        <w:rPr>
          <w:rFonts w:hint="eastAsia" w:eastAsia="华文楷体"/>
          <w:sz w:val="32"/>
          <w:szCs w:val="32"/>
        </w:rPr>
        <w:t xml:space="preserve">2 </w:t>
      </w:r>
      <w:r>
        <w:rPr>
          <w:rFonts w:eastAsia="华文楷体"/>
          <w:sz w:val="32"/>
          <w:szCs w:val="32"/>
        </w:rPr>
        <w:t>结构建模及主要参数</w:t>
      </w:r>
      <w:bookmarkEnd w:id="11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本</w:t>
      </w:r>
      <w:r>
        <w:rPr>
          <w:sz w:val="24"/>
          <w:szCs w:val="24"/>
        </w:rPr>
        <w:t>结构</w:t>
      </w:r>
      <w:r>
        <w:rPr>
          <w:rFonts w:hint="eastAsia"/>
          <w:sz w:val="24"/>
          <w:szCs w:val="24"/>
        </w:rPr>
        <w:t>采用</w:t>
      </w:r>
      <w:r>
        <w:rPr>
          <w:sz w:val="24"/>
          <w:szCs w:val="24"/>
        </w:rPr>
        <w:t>***进行</w:t>
      </w:r>
      <w:r>
        <w:rPr>
          <w:rFonts w:hint="eastAsia"/>
          <w:sz w:val="24"/>
          <w:szCs w:val="24"/>
        </w:rPr>
        <w:t>结构建模及</w:t>
      </w:r>
      <w:r>
        <w:rPr>
          <w:sz w:val="24"/>
          <w:szCs w:val="24"/>
        </w:rPr>
        <w:t>分析。</w:t>
      </w:r>
    </w:p>
    <w:p>
      <w:pPr>
        <w:pStyle w:val="12"/>
        <w:widowControl/>
        <w:autoSpaceDE w:val="0"/>
        <w:autoSpaceDN w:val="0"/>
        <w:adjustRightInd w:val="0"/>
        <w:spacing w:line="360" w:lineRule="auto"/>
        <w:ind w:left="425" w:firstLine="0" w:firstLineChars="0"/>
        <w:jc w:val="left"/>
        <w:outlineLvl w:val="1"/>
        <w:rPr>
          <w:rFonts w:eastAsia="华文楷体"/>
          <w:sz w:val="28"/>
          <w:szCs w:val="30"/>
        </w:rPr>
      </w:pPr>
      <w:bookmarkStart w:id="12" w:name="_Toc432409559"/>
      <w:bookmarkStart w:id="13" w:name="_Toc521411325"/>
      <w:bookmarkStart w:id="14" w:name="_Toc432409700"/>
      <w:r>
        <w:rPr>
          <w:rFonts w:hint="eastAsia" w:eastAsia="华文楷体"/>
          <w:sz w:val="28"/>
          <w:szCs w:val="30"/>
        </w:rPr>
        <w:t xml:space="preserve">2.1 </w:t>
      </w:r>
      <w:r>
        <w:rPr>
          <w:rFonts w:eastAsia="华文楷体"/>
          <w:sz w:val="28"/>
          <w:szCs w:val="30"/>
        </w:rPr>
        <w:t>**</w:t>
      </w:r>
      <w:r>
        <w:rPr>
          <w:rFonts w:hint="eastAsia" w:eastAsia="华文楷体"/>
          <w:sz w:val="28"/>
          <w:szCs w:val="30"/>
        </w:rPr>
        <w:t>软件名称</w:t>
      </w:r>
      <w:r>
        <w:rPr>
          <w:rFonts w:eastAsia="华文楷体"/>
          <w:sz w:val="28"/>
          <w:szCs w:val="30"/>
        </w:rPr>
        <w:t>**</w:t>
      </w:r>
      <w:r>
        <w:rPr>
          <w:rFonts w:hint="eastAsia" w:eastAsia="华文楷体"/>
          <w:sz w:val="28"/>
          <w:szCs w:val="30"/>
        </w:rPr>
        <w:t>结构模型</w:t>
      </w:r>
      <w:bookmarkEnd w:id="12"/>
      <w:bookmarkEnd w:id="13"/>
      <w:bookmarkEnd w:id="14"/>
    </w:p>
    <w:p>
      <w:pPr>
        <w:ind w:firstLine="357"/>
        <w:rPr>
          <w:sz w:val="24"/>
          <w:szCs w:val="24"/>
        </w:rPr>
      </w:pPr>
      <w:r>
        <w:rPr>
          <w:sz w:val="24"/>
          <w:szCs w:val="24"/>
        </w:rPr>
        <w:t>利用有限元分析软件</w:t>
      </w:r>
      <w:r>
        <w:rPr>
          <w:rFonts w:hint="eastAsia"/>
          <w:sz w:val="24"/>
          <w:szCs w:val="24"/>
        </w:rPr>
        <w:t>*</w:t>
      </w:r>
      <w:r>
        <w:rPr>
          <w:sz w:val="24"/>
          <w:szCs w:val="24"/>
        </w:rPr>
        <w:t>***建立了结构的分析模型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-1</w:t>
      </w:r>
      <w:r>
        <w:rPr>
          <w:rFonts w:hint="eastAsia"/>
          <w:sz w:val="24"/>
          <w:szCs w:val="24"/>
        </w:rPr>
        <w:t>所示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（建议采用无边框的表格进行图形的排版）。</w:t>
      </w:r>
    </w:p>
    <w:tbl>
      <w:tblPr>
        <w:tblStyle w:val="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6"/>
        <w:gridCol w:w="34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6" w:type="dxa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a)</w:t>
            </w:r>
            <w:r>
              <w:t>结构</w:t>
            </w:r>
            <w:r>
              <w:rPr>
                <w:rFonts w:hint="eastAsia"/>
              </w:rPr>
              <w:t>分析</w:t>
            </w:r>
            <w:r>
              <w:t>模型三维轴测图</w:t>
            </w:r>
          </w:p>
        </w:tc>
        <w:tc>
          <w:tcPr>
            <w:tcW w:w="3430" w:type="dxa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(b</w:t>
            </w:r>
            <w:r>
              <w:rPr>
                <w:szCs w:val="21"/>
              </w:rPr>
              <w:t>)</w:t>
            </w:r>
            <w:r>
              <w:t>结构</w:t>
            </w:r>
            <w:r>
              <w:rPr>
                <w:rFonts w:hint="eastAsia"/>
              </w:rPr>
              <w:t>分析</w:t>
            </w:r>
            <w:r>
              <w:t>模型</w:t>
            </w:r>
            <w:r>
              <w:rPr>
                <w:rFonts w:hint="eastAsia"/>
              </w:rPr>
              <w:t>平面图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6" w:type="dxa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c)</w:t>
            </w:r>
            <w:r>
              <w:t>结构</w:t>
            </w:r>
            <w:r>
              <w:rPr>
                <w:rFonts w:hint="eastAsia"/>
              </w:rPr>
              <w:t>分析</w:t>
            </w:r>
            <w:r>
              <w:t>模型</w:t>
            </w:r>
            <w:r>
              <w:rPr>
                <w:rFonts w:hint="eastAsia"/>
              </w:rPr>
              <w:t>立面</w:t>
            </w:r>
            <w:r>
              <w:t>图</w:t>
            </w:r>
          </w:p>
        </w:tc>
        <w:tc>
          <w:tcPr>
            <w:tcW w:w="3430" w:type="dxa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d)</w:t>
            </w:r>
            <w:r>
              <w:t>结构</w:t>
            </w:r>
            <w:r>
              <w:rPr>
                <w:rFonts w:hint="eastAsia"/>
              </w:rPr>
              <w:t>分析</w:t>
            </w:r>
            <w:r>
              <w:t>模型??图</w:t>
            </w:r>
          </w:p>
        </w:tc>
      </w:tr>
    </w:tbl>
    <w:p>
      <w:pPr>
        <w:spacing w:line="300" w:lineRule="auto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2</w:t>
      </w:r>
      <w:r>
        <w:rPr>
          <w:rFonts w:hint="eastAsia"/>
          <w:szCs w:val="21"/>
        </w:rPr>
        <w:t>-</w:t>
      </w:r>
      <w:r>
        <w:rPr>
          <w:szCs w:val="21"/>
        </w:rPr>
        <w:t>1. ******</w:t>
      </w:r>
    </w:p>
    <w:p>
      <w:pPr>
        <w:pStyle w:val="12"/>
        <w:widowControl/>
        <w:autoSpaceDE w:val="0"/>
        <w:autoSpaceDN w:val="0"/>
        <w:adjustRightInd w:val="0"/>
        <w:spacing w:line="360" w:lineRule="auto"/>
        <w:ind w:left="425" w:firstLine="0" w:firstLineChars="0"/>
        <w:jc w:val="left"/>
        <w:outlineLvl w:val="1"/>
        <w:rPr>
          <w:rFonts w:eastAsia="华文楷体"/>
          <w:sz w:val="30"/>
          <w:szCs w:val="30"/>
        </w:rPr>
      </w:pPr>
      <w:bookmarkStart w:id="15" w:name="_Toc521411326"/>
      <w:r>
        <w:rPr>
          <w:rFonts w:hint="eastAsia" w:eastAsia="华文楷体"/>
          <w:sz w:val="30"/>
          <w:szCs w:val="30"/>
        </w:rPr>
        <w:t>2.2 结构</w:t>
      </w:r>
      <w:r>
        <w:rPr>
          <w:rFonts w:eastAsia="华文楷体"/>
          <w:sz w:val="30"/>
          <w:szCs w:val="30"/>
        </w:rPr>
        <w:t>分析中的主要参数</w:t>
      </w:r>
      <w:bookmarkEnd w:id="15"/>
    </w:p>
    <w:p>
      <w:pPr>
        <w:ind w:firstLine="357"/>
        <w:rPr>
          <w:sz w:val="24"/>
          <w:szCs w:val="24"/>
        </w:rPr>
      </w:pPr>
      <w:r>
        <w:rPr>
          <w:sz w:val="24"/>
          <w:szCs w:val="24"/>
        </w:rPr>
        <w:t>在***</w:t>
      </w:r>
      <w:r>
        <w:rPr>
          <w:rFonts w:hint="eastAsia"/>
          <w:sz w:val="24"/>
          <w:szCs w:val="24"/>
        </w:rPr>
        <w:t>分析软件</w:t>
      </w:r>
      <w:r>
        <w:rPr>
          <w:sz w:val="24"/>
          <w:szCs w:val="24"/>
        </w:rPr>
        <w:t>中</w:t>
      </w:r>
      <w:r>
        <w:rPr>
          <w:rFonts w:hint="eastAsia"/>
          <w:sz w:val="24"/>
          <w:szCs w:val="24"/>
        </w:rPr>
        <w:t>，进行了如下的定义。</w:t>
      </w:r>
    </w:p>
    <w:p>
      <w:pPr>
        <w:ind w:firstLine="357"/>
        <w:rPr>
          <w:sz w:val="24"/>
          <w:szCs w:val="24"/>
        </w:rPr>
      </w:pPr>
      <w:r>
        <w:rPr>
          <w:sz w:val="24"/>
          <w:szCs w:val="24"/>
        </w:rPr>
        <w:t>材料部分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竹皮的弹性模量设置为*** N/mm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，抗拉强度设为***MPa。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0070C0"/>
          <w:sz w:val="24"/>
          <w:szCs w:val="24"/>
        </w:rPr>
        <w:t>需注意物理量及单位的撰写格式，物理量符号、物理常量、变量符号用斜体，计量单位等符号均用正体。</w:t>
      </w:r>
      <w:r>
        <w:rPr>
          <w:rFonts w:hint="eastAsia"/>
          <w:sz w:val="24"/>
          <w:szCs w:val="24"/>
        </w:rPr>
        <w:t>）</w:t>
      </w:r>
    </w:p>
    <w:p>
      <w:pPr>
        <w:ind w:firstLine="357"/>
        <w:rPr>
          <w:sz w:val="24"/>
          <w:szCs w:val="24"/>
        </w:rPr>
      </w:pPr>
      <w:r>
        <w:rPr>
          <w:rFonts w:hint="eastAsia"/>
          <w:sz w:val="24"/>
          <w:szCs w:val="24"/>
        </w:rPr>
        <w:t>几何信息部分：</w:t>
      </w:r>
      <w:r>
        <w:rPr>
          <w:sz w:val="24"/>
          <w:szCs w:val="24"/>
        </w:rPr>
        <w:t>各构件截面及尺寸按实际输入。</w:t>
      </w:r>
      <w:r>
        <w:rPr>
          <w:rFonts w:hint="eastAsia"/>
          <w:sz w:val="24"/>
          <w:szCs w:val="24"/>
        </w:rPr>
        <w:t>其中杆件*</w:t>
      </w:r>
      <w:r>
        <w:rPr>
          <w:sz w:val="24"/>
          <w:szCs w:val="24"/>
        </w:rPr>
        <w:t>**</w:t>
      </w:r>
      <w:r>
        <w:rPr>
          <w:rFonts w:hint="eastAsia"/>
          <w:sz w:val="24"/>
          <w:szCs w:val="24"/>
        </w:rPr>
        <w:t>采用了*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截面尺寸，*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。</w:t>
      </w:r>
    </w:p>
    <w:p>
      <w:pPr>
        <w:ind w:firstLine="357"/>
        <w:rPr>
          <w:sz w:val="24"/>
          <w:szCs w:val="24"/>
        </w:rPr>
      </w:pPr>
      <w:r>
        <w:rPr>
          <w:sz w:val="24"/>
          <w:szCs w:val="24"/>
        </w:rPr>
        <w:t>荷载</w:t>
      </w:r>
      <w:r>
        <w:rPr>
          <w:rFonts w:hint="eastAsia"/>
          <w:sz w:val="24"/>
          <w:szCs w:val="24"/>
        </w:rPr>
        <w:t>模式部分：根据本次结构大赛中的要求进行，第一级荷载为*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，第二级荷载为*</w:t>
      </w:r>
      <w:r>
        <w:rPr>
          <w:sz w:val="24"/>
          <w:szCs w:val="24"/>
        </w:rPr>
        <w:t>***。</w:t>
      </w:r>
      <w:r>
        <w:rPr>
          <w:rFonts w:hint="eastAsia"/>
          <w:sz w:val="24"/>
          <w:szCs w:val="24"/>
        </w:rPr>
        <w:t>在软件*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中，采用了*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设置。</w:t>
      </w:r>
    </w:p>
    <w:p>
      <w:pPr>
        <w:ind w:firstLine="357"/>
        <w:rPr>
          <w:sz w:val="24"/>
          <w:szCs w:val="24"/>
        </w:rPr>
      </w:pPr>
      <w:r>
        <w:rPr>
          <w:rFonts w:hint="eastAsia"/>
          <w:sz w:val="24"/>
          <w:szCs w:val="24"/>
        </w:rPr>
        <w:t>结构支座部分：在*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施加了*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约束。</w:t>
      </w:r>
    </w:p>
    <w:p>
      <w:pPr>
        <w:rPr>
          <w:szCs w:val="21"/>
        </w:rPr>
      </w:pPr>
      <w:r>
        <w:rPr>
          <w:szCs w:val="21"/>
        </w:rPr>
        <w:br w:type="page"/>
      </w:r>
    </w:p>
    <w:p>
      <w:pPr>
        <w:pStyle w:val="12"/>
        <w:widowControl/>
        <w:autoSpaceDE w:val="0"/>
        <w:autoSpaceDN w:val="0"/>
        <w:adjustRightInd w:val="0"/>
        <w:spacing w:line="360" w:lineRule="auto"/>
        <w:ind w:firstLine="0" w:firstLineChars="0"/>
        <w:jc w:val="center"/>
        <w:outlineLvl w:val="0"/>
        <w:rPr>
          <w:rFonts w:ascii="Calibri" w:hAnsi="Calibri" w:eastAsia="华文楷体"/>
          <w:sz w:val="32"/>
          <w:szCs w:val="32"/>
        </w:rPr>
      </w:pPr>
      <w:bookmarkStart w:id="16" w:name="_Toc432409701"/>
      <w:bookmarkStart w:id="17" w:name="_Toc432409560"/>
      <w:bookmarkStart w:id="18" w:name="_Toc521411327"/>
      <w:r>
        <w:rPr>
          <w:rFonts w:hint="eastAsia" w:ascii="Calibri" w:hAnsi="Calibri" w:eastAsia="华文楷体"/>
          <w:sz w:val="32"/>
          <w:szCs w:val="32"/>
        </w:rPr>
        <w:t xml:space="preserve">3 </w:t>
      </w:r>
      <w:r>
        <w:rPr>
          <w:rFonts w:ascii="Calibri" w:hAnsi="Calibri" w:eastAsia="华文楷体"/>
          <w:sz w:val="32"/>
          <w:szCs w:val="32"/>
        </w:rPr>
        <w:t>受荷分析</w:t>
      </w:r>
      <w:bookmarkEnd w:id="16"/>
      <w:bookmarkEnd w:id="17"/>
      <w:bookmarkEnd w:id="18"/>
    </w:p>
    <w:p>
      <w:pPr>
        <w:widowControl/>
        <w:autoSpaceDE w:val="0"/>
        <w:autoSpaceDN w:val="0"/>
        <w:adjustRightInd w:val="0"/>
        <w:spacing w:line="360" w:lineRule="auto"/>
        <w:ind w:left="425"/>
        <w:jc w:val="left"/>
        <w:outlineLvl w:val="1"/>
        <w:rPr>
          <w:rFonts w:ascii="Calibri" w:hAnsi="Calibri" w:eastAsia="华文楷体"/>
          <w:sz w:val="28"/>
          <w:szCs w:val="30"/>
        </w:rPr>
      </w:pPr>
      <w:bookmarkStart w:id="19" w:name="_Toc432409561"/>
      <w:bookmarkStart w:id="20" w:name="_Toc432409702"/>
      <w:bookmarkStart w:id="21" w:name="_Toc521411328"/>
      <w:r>
        <w:rPr>
          <w:rFonts w:hint="eastAsia" w:ascii="Calibri" w:hAnsi="Calibri" w:eastAsia="华文楷体"/>
          <w:sz w:val="28"/>
          <w:szCs w:val="30"/>
        </w:rPr>
        <w:t>3.1 内力</w:t>
      </w:r>
      <w:bookmarkEnd w:id="19"/>
      <w:bookmarkEnd w:id="20"/>
      <w:r>
        <w:rPr>
          <w:rFonts w:hint="eastAsia" w:ascii="Calibri" w:hAnsi="Calibri" w:eastAsia="华文楷体"/>
          <w:sz w:val="28"/>
          <w:szCs w:val="30"/>
        </w:rPr>
        <w:t>分析</w:t>
      </w:r>
      <w:bookmarkEnd w:id="21"/>
    </w:p>
    <w:p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rFonts w:hint="eastAsia"/>
          <w:b/>
          <w:kern w:val="0"/>
          <w:sz w:val="24"/>
          <w:szCs w:val="24"/>
        </w:rPr>
        <w:t>第一级荷载</w:t>
      </w:r>
    </w:p>
    <w:p>
      <w:pPr>
        <w:ind w:left="360"/>
        <w:rPr>
          <w:sz w:val="24"/>
          <w:szCs w:val="24"/>
        </w:rPr>
      </w:pPr>
      <w:r>
        <w:rPr>
          <w:sz w:val="24"/>
          <w:szCs w:val="24"/>
        </w:rPr>
        <w:t>*********</w:t>
      </w:r>
    </w:p>
    <w:p>
      <w:pPr>
        <w:ind w:firstLine="480"/>
        <w:rPr>
          <w:szCs w:val="21"/>
        </w:rPr>
      </w:pPr>
      <w:r>
        <w:rPr>
          <w:rFonts w:hint="eastAsia"/>
          <w:sz w:val="24"/>
          <w:szCs w:val="24"/>
        </w:rPr>
        <w:t>经过分析，其内力情况如*</w:t>
      </w: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所示：</w:t>
      </w:r>
    </w:p>
    <w:tbl>
      <w:tblPr>
        <w:tblStyle w:val="6"/>
        <w:tblW w:w="830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>
            <w:pPr>
              <w:ind w:firstLine="422"/>
              <w:rPr>
                <w:b/>
                <w:bCs/>
                <w:szCs w:val="21"/>
              </w:rPr>
            </w:pPr>
          </w:p>
          <w:p>
            <w:pPr>
              <w:ind w:firstLine="420"/>
              <w:jc w:val="center"/>
              <w:rPr>
                <w:szCs w:val="21"/>
              </w:rPr>
            </w:pPr>
            <w:bookmarkStart w:id="22" w:name="_Toc432409562"/>
            <w:bookmarkStart w:id="23" w:name="_Toc432409703"/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a)轴力图</w:t>
            </w:r>
            <w:bookmarkEnd w:id="22"/>
            <w:bookmarkEnd w:id="23"/>
            <w:r>
              <w:rPr>
                <w:rFonts w:hint="eastAsia"/>
                <w:szCs w:val="21"/>
              </w:rPr>
              <w:t xml:space="preserve">                 (</w:t>
            </w:r>
            <w:r>
              <w:rPr>
                <w:szCs w:val="21"/>
              </w:rPr>
              <w:t>b)弯矩图</w:t>
            </w:r>
          </w:p>
        </w:tc>
      </w:tr>
    </w:tbl>
    <w:p>
      <w:pPr>
        <w:ind w:firstLine="420"/>
        <w:jc w:val="center"/>
      </w:pPr>
      <w:r>
        <w:rPr>
          <w:rFonts w:hint="eastAsia"/>
          <w:szCs w:val="21"/>
        </w:rPr>
        <w:t>图</w:t>
      </w:r>
      <w:r>
        <w:rPr>
          <w:szCs w:val="21"/>
        </w:rPr>
        <w:t>3</w:t>
      </w:r>
      <w:r>
        <w:rPr>
          <w:rFonts w:hint="eastAsia"/>
          <w:szCs w:val="21"/>
        </w:rPr>
        <w:t>-</w:t>
      </w:r>
      <w:r>
        <w:rPr>
          <w:szCs w:val="21"/>
        </w:rPr>
        <w:t>1. ******</w:t>
      </w:r>
    </w:p>
    <w:p>
      <w:pPr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由内力分析结果可以得知：*</w:t>
      </w:r>
      <w:r>
        <w:rPr>
          <w:sz w:val="24"/>
          <w:szCs w:val="24"/>
        </w:rPr>
        <w:t>*******</w:t>
      </w:r>
    </w:p>
    <w:p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rFonts w:hint="eastAsia"/>
          <w:b/>
          <w:kern w:val="0"/>
          <w:sz w:val="24"/>
          <w:szCs w:val="24"/>
        </w:rPr>
        <w:t>第二级荷载</w:t>
      </w:r>
    </w:p>
    <w:p>
      <w:pPr>
        <w:ind w:left="360"/>
        <w:rPr>
          <w:sz w:val="24"/>
          <w:szCs w:val="24"/>
        </w:rPr>
      </w:pPr>
      <w:r>
        <w:rPr>
          <w:sz w:val="24"/>
          <w:szCs w:val="24"/>
        </w:rPr>
        <w:t>*********</w:t>
      </w:r>
    </w:p>
    <w:p>
      <w:pPr>
        <w:ind w:firstLine="480"/>
        <w:rPr>
          <w:szCs w:val="21"/>
        </w:rPr>
      </w:pPr>
      <w:r>
        <w:rPr>
          <w:rFonts w:hint="eastAsia"/>
          <w:sz w:val="24"/>
          <w:szCs w:val="24"/>
        </w:rPr>
        <w:t>经过分析，其内力情况如*</w:t>
      </w: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所示：</w:t>
      </w:r>
    </w:p>
    <w:tbl>
      <w:tblPr>
        <w:tblStyle w:val="6"/>
        <w:tblW w:w="830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>
            <w:pPr>
              <w:ind w:firstLine="422"/>
              <w:rPr>
                <w:b/>
                <w:bCs/>
                <w:szCs w:val="21"/>
              </w:rPr>
            </w:pPr>
          </w:p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a)轴力图</w:t>
            </w:r>
            <w:r>
              <w:rPr>
                <w:rFonts w:hint="eastAsia"/>
                <w:szCs w:val="21"/>
              </w:rPr>
              <w:t xml:space="preserve">         (</w:t>
            </w:r>
            <w:r>
              <w:rPr>
                <w:szCs w:val="21"/>
              </w:rPr>
              <w:t>b)弯矩图</w:t>
            </w:r>
          </w:p>
        </w:tc>
      </w:tr>
    </w:tbl>
    <w:p>
      <w:pPr>
        <w:ind w:firstLine="42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3</w:t>
      </w:r>
      <w:r>
        <w:rPr>
          <w:rFonts w:hint="eastAsia"/>
          <w:szCs w:val="21"/>
        </w:rPr>
        <w:t>-</w:t>
      </w:r>
      <w:r>
        <w:rPr>
          <w:szCs w:val="21"/>
        </w:rPr>
        <w:t>2. ******</w:t>
      </w:r>
    </w:p>
    <w:p>
      <w:pPr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由内力分析结果可以得知：*</w:t>
      </w:r>
      <w:r>
        <w:rPr>
          <w:sz w:val="24"/>
          <w:szCs w:val="24"/>
        </w:rPr>
        <w:t>*******</w:t>
      </w:r>
    </w:p>
    <w:p>
      <w:pPr>
        <w:widowControl/>
        <w:autoSpaceDE w:val="0"/>
        <w:autoSpaceDN w:val="0"/>
        <w:adjustRightInd w:val="0"/>
        <w:spacing w:line="360" w:lineRule="auto"/>
        <w:ind w:left="425"/>
        <w:jc w:val="left"/>
        <w:outlineLvl w:val="1"/>
        <w:rPr>
          <w:rFonts w:ascii="Calibri" w:hAnsi="Calibri" w:eastAsia="华文楷体"/>
          <w:sz w:val="28"/>
          <w:szCs w:val="30"/>
        </w:rPr>
      </w:pPr>
      <w:bookmarkStart w:id="24" w:name="_Toc521411329"/>
      <w:r>
        <w:rPr>
          <w:rFonts w:hint="eastAsia" w:ascii="Calibri" w:hAnsi="Calibri" w:eastAsia="华文楷体"/>
          <w:sz w:val="28"/>
          <w:szCs w:val="30"/>
        </w:rPr>
        <w:t>3.2 变形分析</w:t>
      </w:r>
      <w:bookmarkEnd w:id="24"/>
    </w:p>
    <w:p>
      <w:pPr>
        <w:widowControl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rFonts w:hint="eastAsia"/>
          <w:b/>
          <w:kern w:val="0"/>
          <w:sz w:val="24"/>
          <w:szCs w:val="24"/>
        </w:rPr>
        <w:t>第一级荷载</w:t>
      </w:r>
    </w:p>
    <w:p>
      <w:pPr>
        <w:ind w:left="360"/>
        <w:rPr>
          <w:sz w:val="24"/>
          <w:szCs w:val="24"/>
        </w:rPr>
      </w:pPr>
      <w:r>
        <w:rPr>
          <w:sz w:val="24"/>
          <w:szCs w:val="24"/>
        </w:rPr>
        <w:t>*********</w:t>
      </w:r>
    </w:p>
    <w:p>
      <w:pPr>
        <w:ind w:firstLine="480"/>
        <w:rPr>
          <w:szCs w:val="21"/>
        </w:rPr>
      </w:pPr>
      <w:r>
        <w:rPr>
          <w:rFonts w:hint="eastAsia"/>
          <w:sz w:val="24"/>
          <w:szCs w:val="24"/>
        </w:rPr>
        <w:t>经过分析，其变形情况如*</w:t>
      </w: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所示：</w:t>
      </w:r>
    </w:p>
    <w:tbl>
      <w:tblPr>
        <w:tblStyle w:val="6"/>
        <w:tblW w:w="830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/>
        </w:tc>
      </w:tr>
    </w:tbl>
    <w:p>
      <w:pPr>
        <w:ind w:firstLine="420"/>
        <w:jc w:val="center"/>
      </w:pPr>
      <w:r>
        <w:rPr>
          <w:rFonts w:hint="eastAsia"/>
          <w:szCs w:val="21"/>
        </w:rPr>
        <w:t>图</w:t>
      </w:r>
      <w:r>
        <w:rPr>
          <w:szCs w:val="21"/>
        </w:rPr>
        <w:t>3</w:t>
      </w:r>
      <w:r>
        <w:rPr>
          <w:rFonts w:hint="eastAsia"/>
          <w:szCs w:val="21"/>
        </w:rPr>
        <w:t>-</w:t>
      </w:r>
      <w:r>
        <w:rPr>
          <w:szCs w:val="21"/>
        </w:rPr>
        <w:t>4. ******</w:t>
      </w:r>
      <w:r>
        <w:rPr>
          <w:rFonts w:hint="eastAsia"/>
        </w:rPr>
        <w:t>变形</w:t>
      </w:r>
      <w:r>
        <w:t>图</w:t>
      </w:r>
    </w:p>
    <w:p>
      <w:pPr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由变形分析结果可以得知：*</w:t>
      </w:r>
      <w:r>
        <w:rPr>
          <w:sz w:val="24"/>
          <w:szCs w:val="24"/>
        </w:rPr>
        <w:t>*******</w:t>
      </w:r>
    </w:p>
    <w:p>
      <w:pPr>
        <w:widowControl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24"/>
        </w:rPr>
      </w:pPr>
      <w:r>
        <w:rPr>
          <w:rFonts w:hint="eastAsia"/>
          <w:b/>
          <w:kern w:val="0"/>
          <w:sz w:val="24"/>
          <w:szCs w:val="24"/>
        </w:rPr>
        <w:t>第二级荷载</w:t>
      </w:r>
    </w:p>
    <w:p>
      <w:pPr>
        <w:ind w:left="360"/>
        <w:rPr>
          <w:sz w:val="24"/>
          <w:szCs w:val="24"/>
        </w:rPr>
      </w:pPr>
      <w:r>
        <w:rPr>
          <w:sz w:val="24"/>
          <w:szCs w:val="24"/>
        </w:rPr>
        <w:t>*********</w:t>
      </w:r>
    </w:p>
    <w:p>
      <w:pPr>
        <w:ind w:firstLine="480"/>
        <w:rPr>
          <w:szCs w:val="21"/>
        </w:rPr>
      </w:pPr>
      <w:r>
        <w:rPr>
          <w:rFonts w:hint="eastAsia"/>
          <w:sz w:val="24"/>
          <w:szCs w:val="24"/>
        </w:rPr>
        <w:t>经过分析，其变形情况如*</w:t>
      </w: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所示：</w:t>
      </w:r>
    </w:p>
    <w:tbl>
      <w:tblPr>
        <w:tblStyle w:val="6"/>
        <w:tblW w:w="830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/>
        </w:tc>
      </w:tr>
    </w:tbl>
    <w:p>
      <w:pPr>
        <w:ind w:firstLine="420"/>
        <w:jc w:val="center"/>
      </w:pPr>
      <w:r>
        <w:rPr>
          <w:rFonts w:hint="eastAsia"/>
          <w:szCs w:val="21"/>
        </w:rPr>
        <w:t>图</w:t>
      </w:r>
      <w:r>
        <w:rPr>
          <w:szCs w:val="21"/>
        </w:rPr>
        <w:t>3</w:t>
      </w:r>
      <w:r>
        <w:rPr>
          <w:rFonts w:hint="eastAsia"/>
          <w:szCs w:val="21"/>
        </w:rPr>
        <w:t>-</w:t>
      </w:r>
      <w:r>
        <w:rPr>
          <w:szCs w:val="21"/>
        </w:rPr>
        <w:t>5. *******</w:t>
      </w:r>
      <w:r>
        <w:rPr>
          <w:rFonts w:hint="eastAsia"/>
        </w:rPr>
        <w:t>变形</w:t>
      </w:r>
      <w:r>
        <w:t>图</w:t>
      </w:r>
    </w:p>
    <w:p>
      <w:pPr>
        <w:ind w:left="360"/>
      </w:pPr>
      <w:r>
        <w:rPr>
          <w:rFonts w:hint="eastAsia"/>
          <w:sz w:val="24"/>
          <w:szCs w:val="24"/>
        </w:rPr>
        <w:t>由变形分析结果可以得知：*</w:t>
      </w:r>
      <w:r>
        <w:rPr>
          <w:sz w:val="24"/>
          <w:szCs w:val="24"/>
        </w:rPr>
        <w:t>*******</w:t>
      </w:r>
    </w:p>
    <w:p>
      <w:pPr>
        <w:widowControl/>
        <w:autoSpaceDE w:val="0"/>
        <w:autoSpaceDN w:val="0"/>
        <w:adjustRightInd w:val="0"/>
        <w:spacing w:line="360" w:lineRule="auto"/>
        <w:ind w:left="425"/>
        <w:jc w:val="left"/>
        <w:outlineLvl w:val="1"/>
        <w:rPr>
          <w:rFonts w:ascii="Calibri" w:hAnsi="Calibri" w:eastAsia="华文楷体"/>
          <w:sz w:val="28"/>
          <w:szCs w:val="30"/>
        </w:rPr>
      </w:pPr>
      <w:bookmarkStart w:id="25" w:name="_Toc521411330"/>
      <w:r>
        <w:rPr>
          <w:rFonts w:hint="eastAsia" w:ascii="Calibri" w:hAnsi="Calibri" w:eastAsia="华文楷体"/>
          <w:sz w:val="28"/>
          <w:szCs w:val="30"/>
        </w:rPr>
        <w:t>3.3 承载力分析</w:t>
      </w:r>
      <w:bookmarkEnd w:id="25"/>
    </w:p>
    <w:p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根据竹材强度*</w:t>
      </w:r>
      <w:r>
        <w:rPr>
          <w:sz w:val="24"/>
          <w:szCs w:val="24"/>
        </w:rPr>
        <w:t>**</w:t>
      </w:r>
      <w:r>
        <w:rPr>
          <w:rFonts w:hint="eastAsia"/>
          <w:sz w:val="24"/>
          <w:szCs w:val="24"/>
        </w:rPr>
        <w:t>，经过计算，其主要杆件的应力如表*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所示。</w:t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表</w:t>
      </w: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</w:rPr>
        <w:t>-</w:t>
      </w:r>
      <w:r>
        <w:rPr>
          <w:kern w:val="0"/>
          <w:szCs w:val="21"/>
        </w:rPr>
        <w:t>1. ******</w:t>
      </w:r>
    </w:p>
    <w:tbl>
      <w:tblPr>
        <w:tblStyle w:val="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构件编号</w:t>
            </w:r>
          </w:p>
        </w:tc>
        <w:tc>
          <w:tcPr>
            <w:tcW w:w="414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杆件应力(</w:t>
            </w:r>
            <w:r>
              <w:rPr>
                <w:szCs w:val="21"/>
              </w:rPr>
              <w:t>MPa)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414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360" w:lineRule="auto"/>
        <w:ind w:left="425"/>
        <w:jc w:val="left"/>
        <w:outlineLvl w:val="1"/>
        <w:rPr>
          <w:rFonts w:ascii="Calibri" w:hAnsi="Calibri" w:eastAsia="华文楷体"/>
          <w:sz w:val="28"/>
          <w:szCs w:val="30"/>
        </w:rPr>
      </w:pPr>
      <w:bookmarkStart w:id="26" w:name="_Toc521411331"/>
      <w:r>
        <w:rPr>
          <w:rFonts w:hint="eastAsia" w:ascii="Calibri" w:hAnsi="Calibri" w:eastAsia="华文楷体"/>
          <w:sz w:val="28"/>
          <w:szCs w:val="30"/>
        </w:rPr>
        <w:t>3.4 小结</w:t>
      </w:r>
      <w:bookmarkEnd w:id="26"/>
    </w:p>
    <w:p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综合*</w:t>
      </w:r>
      <w:r>
        <w:rPr>
          <w:sz w:val="24"/>
          <w:szCs w:val="24"/>
        </w:rPr>
        <w:t>***</w:t>
      </w:r>
      <w:r>
        <w:rPr>
          <w:rFonts w:hint="eastAsia"/>
          <w:sz w:val="24"/>
          <w:szCs w:val="24"/>
        </w:rPr>
        <w:t>分析，可以得到*</w:t>
      </w:r>
      <w:r>
        <w:rPr>
          <w:sz w:val="24"/>
          <w:szCs w:val="24"/>
        </w:rPr>
        <w:t>*******</w:t>
      </w:r>
    </w:p>
    <w:p>
      <w:pPr>
        <w:pStyle w:val="12"/>
        <w:widowControl/>
        <w:autoSpaceDE w:val="0"/>
        <w:autoSpaceDN w:val="0"/>
        <w:adjustRightInd w:val="0"/>
        <w:spacing w:line="360" w:lineRule="auto"/>
        <w:ind w:firstLine="0" w:firstLineChars="0"/>
        <w:jc w:val="center"/>
        <w:outlineLvl w:val="0"/>
        <w:rPr>
          <w:rFonts w:eastAsia="华文楷体"/>
          <w:sz w:val="32"/>
          <w:szCs w:val="32"/>
        </w:rPr>
      </w:pPr>
      <w:r>
        <w:rPr>
          <w:szCs w:val="21"/>
        </w:rPr>
        <w:br w:type="page"/>
      </w:r>
      <w:bookmarkStart w:id="27" w:name="_Toc521411332"/>
      <w:r>
        <w:rPr>
          <w:rFonts w:hint="eastAsia" w:eastAsia="华文楷体"/>
          <w:sz w:val="32"/>
          <w:szCs w:val="32"/>
        </w:rPr>
        <w:t>4 节点构造</w:t>
      </w:r>
      <w:bookmarkEnd w:id="27"/>
    </w:p>
    <w:p>
      <w:pPr>
        <w:ind w:firstLine="480"/>
        <w:rPr>
          <w:sz w:val="24"/>
          <w:szCs w:val="21"/>
        </w:rPr>
      </w:pPr>
      <w:r>
        <w:rPr>
          <w:sz w:val="24"/>
          <w:szCs w:val="21"/>
        </w:rPr>
        <w:t>节点部位是模型制作的一个关键，</w:t>
      </w:r>
      <w:r>
        <w:rPr>
          <w:rFonts w:hint="eastAsia"/>
          <w:sz w:val="24"/>
          <w:szCs w:val="21"/>
        </w:rPr>
        <w:t>表4</w:t>
      </w:r>
      <w:r>
        <w:rPr>
          <w:sz w:val="24"/>
          <w:szCs w:val="21"/>
        </w:rPr>
        <w:t>-1</w:t>
      </w:r>
      <w:r>
        <w:rPr>
          <w:rFonts w:hint="eastAsia"/>
          <w:sz w:val="24"/>
          <w:szCs w:val="21"/>
        </w:rPr>
        <w:t>中列出了本模型</w:t>
      </w:r>
      <w:r>
        <w:rPr>
          <w:sz w:val="24"/>
          <w:szCs w:val="21"/>
        </w:rPr>
        <w:t>各种节点</w:t>
      </w:r>
      <w:r>
        <w:rPr>
          <w:rFonts w:hint="eastAsia"/>
          <w:sz w:val="24"/>
          <w:szCs w:val="21"/>
        </w:rPr>
        <w:t>的说明及图例</w:t>
      </w:r>
      <w:r>
        <w:rPr>
          <w:sz w:val="24"/>
          <w:szCs w:val="21"/>
        </w:rPr>
        <w:t>。</w:t>
      </w:r>
    </w:p>
    <w:p>
      <w:pPr>
        <w:ind w:firstLine="420"/>
        <w:jc w:val="center"/>
        <w:rPr>
          <w:sz w:val="24"/>
          <w:szCs w:val="21"/>
        </w:rPr>
      </w:pPr>
      <w:r>
        <w:rPr>
          <w:rFonts w:hint="eastAsia"/>
          <w:szCs w:val="21"/>
        </w:rPr>
        <w:t>表</w:t>
      </w:r>
      <w:r>
        <w:rPr>
          <w:szCs w:val="21"/>
        </w:rPr>
        <w:t>4</w:t>
      </w:r>
      <w:r>
        <w:rPr>
          <w:rFonts w:hint="eastAsia"/>
          <w:szCs w:val="21"/>
        </w:rPr>
        <w:t>-</w:t>
      </w:r>
      <w:r>
        <w:rPr>
          <w:szCs w:val="21"/>
        </w:rPr>
        <w:t>1. ******</w:t>
      </w:r>
    </w:p>
    <w:tbl>
      <w:tblPr>
        <w:tblStyle w:val="6"/>
        <w:tblW w:w="821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2693"/>
        <w:gridCol w:w="42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节点位置</w:t>
            </w:r>
          </w:p>
        </w:tc>
        <w:tc>
          <w:tcPr>
            <w:tcW w:w="269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说明</w:t>
            </w:r>
          </w:p>
        </w:tc>
        <w:tc>
          <w:tcPr>
            <w:tcW w:w="425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图例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tcBorders>
              <w:top w:val="single" w:color="auto" w:sz="4" w:space="0"/>
            </w:tcBorders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**节点</w:t>
            </w:r>
          </w:p>
        </w:tc>
        <w:tc>
          <w:tcPr>
            <w:tcW w:w="2693" w:type="dxa"/>
            <w:tcBorders>
              <w:top w:val="single" w:color="auto" w:sz="4" w:space="0"/>
            </w:tcBorders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***</w:t>
            </w:r>
          </w:p>
        </w:tc>
        <w:tc>
          <w:tcPr>
            <w:tcW w:w="425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**节点</w:t>
            </w:r>
          </w:p>
        </w:tc>
        <w:tc>
          <w:tcPr>
            <w:tcW w:w="2693" w:type="dxa"/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</w:p>
        </w:tc>
        <w:tc>
          <w:tcPr>
            <w:tcW w:w="4253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</w:p>
        </w:tc>
        <w:tc>
          <w:tcPr>
            <w:tcW w:w="4253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</w:p>
        </w:tc>
        <w:tc>
          <w:tcPr>
            <w:tcW w:w="4253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</w:p>
        </w:tc>
        <w:tc>
          <w:tcPr>
            <w:tcW w:w="4253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</w:p>
        </w:tc>
        <w:tc>
          <w:tcPr>
            <w:tcW w:w="4253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柱脚</w:t>
            </w:r>
            <w:r>
              <w:rPr>
                <w:rFonts w:hint="eastAsia"/>
                <w:szCs w:val="21"/>
              </w:rPr>
              <w:t>节点</w:t>
            </w:r>
          </w:p>
        </w:tc>
        <w:tc>
          <w:tcPr>
            <w:tcW w:w="2693" w:type="dxa"/>
            <w:tcBorders>
              <w:bottom w:val="single" w:color="auto" w:sz="4" w:space="0"/>
            </w:tcBorders>
            <w:vAlign w:val="center"/>
          </w:tcPr>
          <w:p>
            <w:pPr>
              <w:pStyle w:val="12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***</w:t>
            </w:r>
          </w:p>
        </w:tc>
        <w:tc>
          <w:tcPr>
            <w:tcW w:w="425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</w:tbl>
    <w:p>
      <w:pPr>
        <w:rPr>
          <w:color w:val="000000"/>
          <w:sz w:val="24"/>
          <w:szCs w:val="24"/>
        </w:rPr>
      </w:pPr>
    </w:p>
    <w:p>
      <w:pPr>
        <w:pStyle w:val="12"/>
        <w:widowControl/>
        <w:autoSpaceDE w:val="0"/>
        <w:autoSpaceDN w:val="0"/>
        <w:adjustRightInd w:val="0"/>
        <w:spacing w:line="360" w:lineRule="auto"/>
        <w:ind w:firstLine="0" w:firstLineChars="0"/>
        <w:jc w:val="center"/>
        <w:outlineLvl w:val="0"/>
        <w:rPr>
          <w:rFonts w:eastAsia="华文楷体"/>
          <w:sz w:val="32"/>
          <w:szCs w:val="32"/>
        </w:rPr>
      </w:pPr>
      <w:bookmarkStart w:id="28" w:name="_Toc432497339"/>
      <w:bookmarkStart w:id="29" w:name="_Toc521411333"/>
      <w:r>
        <w:rPr>
          <w:rFonts w:hint="eastAsia" w:eastAsia="华文楷体"/>
          <w:sz w:val="32"/>
          <w:szCs w:val="32"/>
        </w:rPr>
        <w:t>5 模型尺寸图</w:t>
      </w:r>
      <w:bookmarkEnd w:id="28"/>
      <w:bookmarkEnd w:id="29"/>
    </w:p>
    <w:tbl>
      <w:tblPr>
        <w:tblStyle w:val="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jc w:val="left"/>
              <w:rPr>
                <w:szCs w:val="21"/>
              </w:rPr>
            </w:pPr>
          </w:p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a) 模型俯视图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jc w:val="left"/>
              <w:rPr>
                <w:szCs w:val="21"/>
              </w:rPr>
            </w:pPr>
          </w:p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(b</w:t>
            </w:r>
            <w:r>
              <w:rPr>
                <w:szCs w:val="21"/>
              </w:rPr>
              <w:t>)模型左视图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jc w:val="left"/>
              <w:rPr>
                <w:szCs w:val="21"/>
              </w:rPr>
            </w:pPr>
          </w:p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c)模型前视图</w:t>
            </w:r>
          </w:p>
        </w:tc>
      </w:tr>
    </w:tbl>
    <w:p>
      <w:pPr>
        <w:spacing w:beforeLines="50" w:afterLines="50"/>
        <w:jc w:val="left"/>
        <w:rPr>
          <w:szCs w:val="28"/>
        </w:rPr>
      </w:pPr>
      <w:r>
        <w:rPr>
          <w:rFonts w:hint="eastAsia"/>
          <w:szCs w:val="21"/>
        </w:rPr>
        <w:t>图5</w:t>
      </w:r>
      <w:r>
        <w:rPr>
          <w:szCs w:val="21"/>
        </w:rPr>
        <w:t>-1 ****</w:t>
      </w:r>
    </w:p>
    <w:p>
      <w:pPr>
        <w:spacing w:beforeLines="50" w:afterLines="50"/>
        <w:jc w:val="center"/>
        <w:rPr>
          <w:szCs w:val="28"/>
        </w:rPr>
      </w:pPr>
      <w:r>
        <w:rPr>
          <w:rFonts w:hint="eastAsia"/>
          <w:szCs w:val="28"/>
        </w:rPr>
        <w:t>表5</w:t>
      </w:r>
      <w:r>
        <w:rPr>
          <w:szCs w:val="28"/>
        </w:rPr>
        <w:t>-1 主要构件详图</w:t>
      </w:r>
    </w:p>
    <w:tbl>
      <w:tblPr>
        <w:tblStyle w:val="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791"/>
        <w:gridCol w:w="1792"/>
        <w:gridCol w:w="1792"/>
        <w:gridCol w:w="17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编号</w:t>
            </w:r>
          </w:p>
        </w:tc>
        <w:tc>
          <w:tcPr>
            <w:tcW w:w="179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</w:t>
            </w:r>
            <w:r>
              <w:rPr>
                <w:szCs w:val="21"/>
              </w:rPr>
              <w:t>1</w:t>
            </w:r>
          </w:p>
        </w:tc>
        <w:tc>
          <w:tcPr>
            <w:tcW w:w="179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</w:t>
            </w:r>
            <w:r>
              <w:rPr>
                <w:szCs w:val="21"/>
              </w:rPr>
              <w:t>2</w:t>
            </w:r>
          </w:p>
        </w:tc>
        <w:tc>
          <w:tcPr>
            <w:tcW w:w="179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</w:t>
            </w:r>
            <w:r>
              <w:rPr>
                <w:szCs w:val="21"/>
              </w:rPr>
              <w:t>3</w:t>
            </w:r>
          </w:p>
        </w:tc>
        <w:tc>
          <w:tcPr>
            <w:tcW w:w="179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</w:t>
            </w:r>
            <w:r>
              <w:rPr>
                <w:szCs w:val="21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12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截面形状</w:t>
            </w:r>
          </w:p>
        </w:tc>
        <w:tc>
          <w:tcPr>
            <w:tcW w:w="179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尺寸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**</w:t>
            </w:r>
            <w:r>
              <w:rPr>
                <w:rFonts w:hint="eastAsia"/>
                <w:szCs w:val="21"/>
              </w:rPr>
              <w:t>×</w:t>
            </w:r>
            <w:r>
              <w:rPr>
                <w:szCs w:val="21"/>
              </w:rPr>
              <w:t>**</w:t>
            </w:r>
            <w:r>
              <w:rPr>
                <w:rFonts w:hint="eastAsia"/>
                <w:szCs w:val="21"/>
              </w:rPr>
              <w:t>×*</w:t>
            </w:r>
            <w:r>
              <w:rPr>
                <w:szCs w:val="21"/>
              </w:rPr>
              <w:t>*</w:t>
            </w:r>
            <w:r>
              <w:rPr>
                <w:rFonts w:hint="eastAsia"/>
                <w:szCs w:val="21"/>
              </w:rPr>
              <w:t>mm</w:t>
            </w:r>
          </w:p>
        </w:tc>
        <w:tc>
          <w:tcPr>
            <w:tcW w:w="1792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**</w:t>
            </w:r>
            <w:r>
              <w:rPr>
                <w:rFonts w:hint="eastAsia"/>
                <w:szCs w:val="21"/>
              </w:rPr>
              <w:t>×</w:t>
            </w:r>
            <w:r>
              <w:rPr>
                <w:szCs w:val="21"/>
              </w:rPr>
              <w:t>**</w:t>
            </w:r>
            <w:r>
              <w:rPr>
                <w:rFonts w:hint="eastAsia"/>
                <w:szCs w:val="21"/>
              </w:rPr>
              <w:t>×*</w:t>
            </w:r>
            <w:r>
              <w:rPr>
                <w:szCs w:val="21"/>
              </w:rPr>
              <w:t>*</w:t>
            </w:r>
            <w:r>
              <w:rPr>
                <w:rFonts w:hint="eastAsia"/>
                <w:szCs w:val="21"/>
              </w:rPr>
              <w:t>mm</w:t>
            </w:r>
          </w:p>
        </w:tc>
        <w:tc>
          <w:tcPr>
            <w:tcW w:w="1792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**</w:t>
            </w:r>
            <w:r>
              <w:rPr>
                <w:rFonts w:hint="eastAsia"/>
                <w:szCs w:val="21"/>
              </w:rPr>
              <w:t>×</w:t>
            </w:r>
            <w:r>
              <w:rPr>
                <w:szCs w:val="21"/>
              </w:rPr>
              <w:t>**</w:t>
            </w:r>
            <w:r>
              <w:rPr>
                <w:rFonts w:hint="eastAsia"/>
                <w:szCs w:val="21"/>
              </w:rPr>
              <w:t>×*</w:t>
            </w:r>
            <w:r>
              <w:rPr>
                <w:szCs w:val="21"/>
              </w:rPr>
              <w:t>*</w:t>
            </w:r>
            <w:r>
              <w:rPr>
                <w:rFonts w:hint="eastAsia"/>
                <w:szCs w:val="21"/>
              </w:rPr>
              <w:t>mm</w:t>
            </w:r>
          </w:p>
        </w:tc>
        <w:tc>
          <w:tcPr>
            <w:tcW w:w="1792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**</w:t>
            </w:r>
            <w:r>
              <w:rPr>
                <w:rFonts w:hint="eastAsia"/>
                <w:szCs w:val="21"/>
              </w:rPr>
              <w:t>×</w:t>
            </w:r>
            <w:r>
              <w:rPr>
                <w:szCs w:val="21"/>
              </w:rPr>
              <w:t>**</w:t>
            </w:r>
            <w:r>
              <w:rPr>
                <w:rFonts w:hint="eastAsia"/>
                <w:szCs w:val="21"/>
              </w:rPr>
              <w:t>×*</w:t>
            </w:r>
            <w:r>
              <w:rPr>
                <w:szCs w:val="21"/>
              </w:rPr>
              <w:t>*</w:t>
            </w:r>
            <w:r>
              <w:rPr>
                <w:rFonts w:hint="eastAsia"/>
                <w:szCs w:val="21"/>
              </w:rPr>
              <w:t>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数量</w:t>
            </w:r>
          </w:p>
        </w:tc>
        <w:tc>
          <w:tcPr>
            <w:tcW w:w="179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9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9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79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*</w:t>
            </w:r>
            <w:r>
              <w:rPr>
                <w:szCs w:val="21"/>
              </w:rPr>
              <w:t>*</w:t>
            </w:r>
          </w:p>
        </w:tc>
      </w:tr>
    </w:tbl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/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42FA6D"/>
    <w:multiLevelType w:val="singleLevel"/>
    <w:tmpl w:val="0A42FA6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DBE71B2"/>
    <w:multiLevelType w:val="multilevel"/>
    <w:tmpl w:val="0DBE71B2"/>
    <w:lvl w:ilvl="0" w:tentative="0">
      <w:start w:val="1"/>
      <w:numFmt w:val="decimal"/>
      <w:lvlText w:val="%1)"/>
      <w:lvlJc w:val="left"/>
      <w:pPr>
        <w:ind w:left="756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76" w:hanging="420"/>
      </w:pPr>
    </w:lvl>
    <w:lvl w:ilvl="2" w:tentative="0">
      <w:start w:val="1"/>
      <w:numFmt w:val="lowerRoman"/>
      <w:lvlText w:val="%3."/>
      <w:lvlJc w:val="right"/>
      <w:pPr>
        <w:ind w:left="1596" w:hanging="420"/>
      </w:pPr>
    </w:lvl>
    <w:lvl w:ilvl="3" w:tentative="0">
      <w:start w:val="1"/>
      <w:numFmt w:val="decimal"/>
      <w:lvlText w:val="%4."/>
      <w:lvlJc w:val="left"/>
      <w:pPr>
        <w:ind w:left="2016" w:hanging="420"/>
      </w:pPr>
    </w:lvl>
    <w:lvl w:ilvl="4" w:tentative="0">
      <w:start w:val="1"/>
      <w:numFmt w:val="lowerLetter"/>
      <w:lvlText w:val="%5)"/>
      <w:lvlJc w:val="left"/>
      <w:pPr>
        <w:ind w:left="2436" w:hanging="420"/>
      </w:pPr>
    </w:lvl>
    <w:lvl w:ilvl="5" w:tentative="0">
      <w:start w:val="1"/>
      <w:numFmt w:val="lowerRoman"/>
      <w:lvlText w:val="%6."/>
      <w:lvlJc w:val="right"/>
      <w:pPr>
        <w:ind w:left="2856" w:hanging="420"/>
      </w:pPr>
    </w:lvl>
    <w:lvl w:ilvl="6" w:tentative="0">
      <w:start w:val="1"/>
      <w:numFmt w:val="decimal"/>
      <w:lvlText w:val="%7."/>
      <w:lvlJc w:val="left"/>
      <w:pPr>
        <w:ind w:left="3276" w:hanging="420"/>
      </w:pPr>
    </w:lvl>
    <w:lvl w:ilvl="7" w:tentative="0">
      <w:start w:val="1"/>
      <w:numFmt w:val="lowerLetter"/>
      <w:lvlText w:val="%8)"/>
      <w:lvlJc w:val="left"/>
      <w:pPr>
        <w:ind w:left="3696" w:hanging="420"/>
      </w:pPr>
    </w:lvl>
    <w:lvl w:ilvl="8" w:tentative="0">
      <w:start w:val="1"/>
      <w:numFmt w:val="lowerRoman"/>
      <w:lvlText w:val="%9."/>
      <w:lvlJc w:val="right"/>
      <w:pPr>
        <w:ind w:left="4116" w:hanging="420"/>
      </w:pPr>
    </w:lvl>
  </w:abstractNum>
  <w:abstractNum w:abstractNumId="2">
    <w:nsid w:val="359C6B52"/>
    <w:multiLevelType w:val="multilevel"/>
    <w:tmpl w:val="359C6B52"/>
    <w:lvl w:ilvl="0" w:tentative="0">
      <w:start w:val="1"/>
      <w:numFmt w:val="decimal"/>
      <w:lvlText w:val="%1)"/>
      <w:lvlJc w:val="left"/>
      <w:pPr>
        <w:ind w:left="756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C531DC"/>
    <w:multiLevelType w:val="multilevel"/>
    <w:tmpl w:val="46C531DC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53A401E8"/>
    <w:multiLevelType w:val="multilevel"/>
    <w:tmpl w:val="53A401E8"/>
    <w:lvl w:ilvl="0" w:tentative="0">
      <w:start w:val="1"/>
      <w:numFmt w:val="decimal"/>
      <w:lvlText w:val="%1)"/>
      <w:lvlJc w:val="left"/>
      <w:pPr>
        <w:ind w:left="756" w:hanging="420"/>
      </w:pPr>
    </w:lvl>
    <w:lvl w:ilvl="1" w:tentative="0">
      <w:start w:val="1"/>
      <w:numFmt w:val="lowerLetter"/>
      <w:lvlText w:val="%2)"/>
      <w:lvlJc w:val="left"/>
      <w:pPr>
        <w:ind w:left="1176" w:hanging="420"/>
      </w:pPr>
    </w:lvl>
    <w:lvl w:ilvl="2" w:tentative="0">
      <w:start w:val="1"/>
      <w:numFmt w:val="lowerRoman"/>
      <w:lvlText w:val="%3."/>
      <w:lvlJc w:val="right"/>
      <w:pPr>
        <w:ind w:left="1596" w:hanging="420"/>
      </w:pPr>
    </w:lvl>
    <w:lvl w:ilvl="3" w:tentative="0">
      <w:start w:val="1"/>
      <w:numFmt w:val="decimal"/>
      <w:lvlText w:val="%4."/>
      <w:lvlJc w:val="left"/>
      <w:pPr>
        <w:ind w:left="2016" w:hanging="420"/>
      </w:pPr>
    </w:lvl>
    <w:lvl w:ilvl="4" w:tentative="0">
      <w:start w:val="1"/>
      <w:numFmt w:val="lowerLetter"/>
      <w:lvlText w:val="%5)"/>
      <w:lvlJc w:val="left"/>
      <w:pPr>
        <w:ind w:left="2436" w:hanging="420"/>
      </w:pPr>
    </w:lvl>
    <w:lvl w:ilvl="5" w:tentative="0">
      <w:start w:val="1"/>
      <w:numFmt w:val="lowerRoman"/>
      <w:lvlText w:val="%6."/>
      <w:lvlJc w:val="right"/>
      <w:pPr>
        <w:ind w:left="2856" w:hanging="420"/>
      </w:pPr>
    </w:lvl>
    <w:lvl w:ilvl="6" w:tentative="0">
      <w:start w:val="1"/>
      <w:numFmt w:val="decimal"/>
      <w:lvlText w:val="%7."/>
      <w:lvlJc w:val="left"/>
      <w:pPr>
        <w:ind w:left="3276" w:hanging="420"/>
      </w:pPr>
    </w:lvl>
    <w:lvl w:ilvl="7" w:tentative="0">
      <w:start w:val="1"/>
      <w:numFmt w:val="lowerLetter"/>
      <w:lvlText w:val="%8)"/>
      <w:lvlJc w:val="left"/>
      <w:pPr>
        <w:ind w:left="3696" w:hanging="420"/>
      </w:pPr>
    </w:lvl>
    <w:lvl w:ilvl="8" w:tentative="0">
      <w:start w:val="1"/>
      <w:numFmt w:val="lowerRoman"/>
      <w:lvlText w:val="%9."/>
      <w:lvlJc w:val="right"/>
      <w:pPr>
        <w:ind w:left="4116" w:hanging="420"/>
      </w:pPr>
    </w:lvl>
  </w:abstractNum>
  <w:abstractNum w:abstractNumId="5">
    <w:nsid w:val="5A6F2A9A"/>
    <w:multiLevelType w:val="multilevel"/>
    <w:tmpl w:val="5A6F2A9A"/>
    <w:lvl w:ilvl="0" w:tentative="0">
      <w:start w:val="1"/>
      <w:numFmt w:val="decimal"/>
      <w:lvlText w:val="%1)"/>
      <w:lvlJc w:val="left"/>
      <w:pPr>
        <w:ind w:left="756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76" w:hanging="420"/>
      </w:pPr>
    </w:lvl>
    <w:lvl w:ilvl="2" w:tentative="0">
      <w:start w:val="1"/>
      <w:numFmt w:val="lowerRoman"/>
      <w:lvlText w:val="%3."/>
      <w:lvlJc w:val="right"/>
      <w:pPr>
        <w:ind w:left="1596" w:hanging="420"/>
      </w:pPr>
    </w:lvl>
    <w:lvl w:ilvl="3" w:tentative="0">
      <w:start w:val="1"/>
      <w:numFmt w:val="decimal"/>
      <w:lvlText w:val="%4."/>
      <w:lvlJc w:val="left"/>
      <w:pPr>
        <w:ind w:left="2016" w:hanging="420"/>
      </w:pPr>
    </w:lvl>
    <w:lvl w:ilvl="4" w:tentative="0">
      <w:start w:val="1"/>
      <w:numFmt w:val="lowerLetter"/>
      <w:lvlText w:val="%5)"/>
      <w:lvlJc w:val="left"/>
      <w:pPr>
        <w:ind w:left="2436" w:hanging="420"/>
      </w:pPr>
    </w:lvl>
    <w:lvl w:ilvl="5" w:tentative="0">
      <w:start w:val="1"/>
      <w:numFmt w:val="lowerRoman"/>
      <w:lvlText w:val="%6."/>
      <w:lvlJc w:val="right"/>
      <w:pPr>
        <w:ind w:left="2856" w:hanging="420"/>
      </w:pPr>
    </w:lvl>
    <w:lvl w:ilvl="6" w:tentative="0">
      <w:start w:val="1"/>
      <w:numFmt w:val="decimal"/>
      <w:lvlText w:val="%7."/>
      <w:lvlJc w:val="left"/>
      <w:pPr>
        <w:ind w:left="3276" w:hanging="420"/>
      </w:pPr>
    </w:lvl>
    <w:lvl w:ilvl="7" w:tentative="0">
      <w:start w:val="1"/>
      <w:numFmt w:val="lowerLetter"/>
      <w:lvlText w:val="%8)"/>
      <w:lvlJc w:val="left"/>
      <w:pPr>
        <w:ind w:left="3696" w:hanging="420"/>
      </w:pPr>
    </w:lvl>
    <w:lvl w:ilvl="8" w:tentative="0">
      <w:start w:val="1"/>
      <w:numFmt w:val="lowerRoman"/>
      <w:lvlText w:val="%9."/>
      <w:lvlJc w:val="right"/>
      <w:pPr>
        <w:ind w:left="4116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5B414B"/>
    <w:rsid w:val="107124A6"/>
    <w:rsid w:val="2FC677EA"/>
    <w:rsid w:val="695B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  <w:pPr>
      <w:widowControl/>
      <w:autoSpaceDE w:val="0"/>
      <w:autoSpaceDN w:val="0"/>
      <w:adjustRightInd w:val="0"/>
      <w:spacing w:line="360" w:lineRule="auto"/>
      <w:ind w:firstLine="360" w:firstLineChars="200"/>
      <w:jc w:val="left"/>
    </w:pPr>
    <w:rPr>
      <w:kern w:val="0"/>
      <w:sz w:val="18"/>
      <w:szCs w:val="18"/>
    </w:rPr>
  </w:style>
  <w:style w:type="paragraph" w:styleId="5">
    <w:name w:val="toc 2"/>
    <w:basedOn w:val="1"/>
    <w:next w:val="1"/>
    <w:unhideWhenUsed/>
    <w:qFormat/>
    <w:uiPriority w:val="39"/>
    <w:pPr>
      <w:widowControl/>
      <w:autoSpaceDE w:val="0"/>
      <w:autoSpaceDN w:val="0"/>
      <w:adjustRightInd w:val="0"/>
      <w:spacing w:line="360" w:lineRule="auto"/>
      <w:ind w:left="420" w:leftChars="200" w:firstLine="360" w:firstLineChars="200"/>
      <w:jc w:val="left"/>
    </w:pPr>
    <w:rPr>
      <w:kern w:val="0"/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表中文字"/>
    <w:basedOn w:val="1"/>
    <w:qFormat/>
    <w:uiPriority w:val="0"/>
    <w:pPr>
      <w:adjustRightInd w:val="0"/>
      <w:snapToGrid w:val="0"/>
      <w:jc w:val="center"/>
    </w:pPr>
    <w:rPr>
      <w:rFonts w:hint="eastAsia"/>
      <w:szCs w:val="21"/>
    </w:rPr>
  </w:style>
  <w:style w:type="paragraph" w:customStyle="1" w:styleId="11">
    <w:name w:val="TOC 标题1"/>
    <w:basedOn w:val="2"/>
    <w:next w:val="1"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17.jpeg"/><Relationship Id="rId30" Type="http://schemas.openxmlformats.org/officeDocument/2006/relationships/image" Target="media/image16.emf"/><Relationship Id="rId3" Type="http://schemas.openxmlformats.org/officeDocument/2006/relationships/theme" Target="theme/theme1.xml"/><Relationship Id="rId29" Type="http://schemas.openxmlformats.org/officeDocument/2006/relationships/oleObject" Target="embeddings/oleObject11.bin"/><Relationship Id="rId28" Type="http://schemas.openxmlformats.org/officeDocument/2006/relationships/image" Target="media/image15.wmf"/><Relationship Id="rId27" Type="http://schemas.openxmlformats.org/officeDocument/2006/relationships/oleObject" Target="embeddings/oleObject10.bin"/><Relationship Id="rId26" Type="http://schemas.openxmlformats.org/officeDocument/2006/relationships/image" Target="media/image14.wmf"/><Relationship Id="rId25" Type="http://schemas.openxmlformats.org/officeDocument/2006/relationships/oleObject" Target="embeddings/oleObject9.bin"/><Relationship Id="rId24" Type="http://schemas.openxmlformats.org/officeDocument/2006/relationships/image" Target="media/image13.wmf"/><Relationship Id="rId23" Type="http://schemas.openxmlformats.org/officeDocument/2006/relationships/oleObject" Target="embeddings/oleObject8.bin"/><Relationship Id="rId22" Type="http://schemas.openxmlformats.org/officeDocument/2006/relationships/image" Target="media/image12.wmf"/><Relationship Id="rId21" Type="http://schemas.openxmlformats.org/officeDocument/2006/relationships/oleObject" Target="embeddings/oleObject7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6.bin"/><Relationship Id="rId18" Type="http://schemas.openxmlformats.org/officeDocument/2006/relationships/image" Target="media/image10.emf"/><Relationship Id="rId17" Type="http://schemas.openxmlformats.org/officeDocument/2006/relationships/oleObject" Target="embeddings/oleObject5.bin"/><Relationship Id="rId16" Type="http://schemas.openxmlformats.org/officeDocument/2006/relationships/image" Target="media/image9.emf"/><Relationship Id="rId15" Type="http://schemas.openxmlformats.org/officeDocument/2006/relationships/image" Target="media/image8.emf"/><Relationship Id="rId14" Type="http://schemas.openxmlformats.org/officeDocument/2006/relationships/image" Target="media/image7.emf"/><Relationship Id="rId13" Type="http://schemas.openxmlformats.org/officeDocument/2006/relationships/oleObject" Target="embeddings/oleObject4.bin"/><Relationship Id="rId12" Type="http://schemas.openxmlformats.org/officeDocument/2006/relationships/image" Target="media/image6.emf"/><Relationship Id="rId11" Type="http://schemas.openxmlformats.org/officeDocument/2006/relationships/oleObject" Target="embeddings/oleObject3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2022-02-18T06:11:00Z</dcterms:created>
  <dc:creator>Inspiron3670TLXXE</dc:creator>
  <cp:lastModifiedBy>Inspiron3670TLXXE</cp:lastModifiedBy>
  <dcterms:modified xsi:type="dcterms:W3CDTF">2022-02-22T02:48:55Z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2E0339832A5B4EB3A36AD50D25F02440</vt:lpwstr>
  </property>
</Properties>
</file>