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EAFD10">
      <w:pPr>
        <w:widowControl/>
        <w:spacing w:line="700" w:lineRule="exact"/>
        <w:jc w:val="center"/>
        <w:outlineLvl w:val="0"/>
        <w:rPr>
          <w:rFonts w:ascii="方正小标宋简体" w:hAnsi="方正小标宋简体" w:eastAsia="方正小标宋简体" w:cs="宋体"/>
          <w:color w:val="auto"/>
          <w:kern w:val="0"/>
          <w:sz w:val="44"/>
          <w:szCs w:val="44"/>
          <w:shd w:val="clear" w:color="auto" w:fill="FFFFFF"/>
        </w:rPr>
      </w:pPr>
      <w:bookmarkStart w:id="5" w:name="_GoBack"/>
      <w:r>
        <w:rPr>
          <w:rFonts w:ascii="方正小标宋简体" w:hAnsi="方正小标宋简体" w:eastAsia="方正小标宋简体" w:cs="宋体"/>
          <w:color w:val="auto"/>
          <w:kern w:val="0"/>
          <w:sz w:val="44"/>
          <w:szCs w:val="44"/>
          <w:shd w:val="clear" w:color="auto" w:fill="FFFFFF"/>
        </w:rPr>
        <w:t>关于举办</w:t>
      </w:r>
      <w:bookmarkStart w:id="0" w:name="OLE_LINK1"/>
      <w:r>
        <w:rPr>
          <w:rFonts w:ascii="方正小标宋简体" w:hAnsi="方正小标宋简体" w:eastAsia="方正小标宋简体" w:cs="宋体"/>
          <w:color w:val="auto"/>
          <w:kern w:val="0"/>
          <w:sz w:val="44"/>
          <w:szCs w:val="44"/>
          <w:shd w:val="clear" w:color="auto" w:fill="FFFFFF"/>
        </w:rPr>
        <w:t>202</w:t>
      </w:r>
      <w:r>
        <w:rPr>
          <w:rFonts w:hint="eastAsia" w:ascii="方正小标宋简体" w:hAnsi="方正小标宋简体" w:eastAsia="方正小标宋简体" w:cs="宋体"/>
          <w:color w:val="auto"/>
          <w:kern w:val="0"/>
          <w:sz w:val="44"/>
          <w:szCs w:val="44"/>
          <w:shd w:val="clear" w:color="auto" w:fill="FFFFFF"/>
        </w:rPr>
        <w:t>5</w:t>
      </w:r>
      <w:r>
        <w:rPr>
          <w:rFonts w:ascii="方正小标宋简体" w:hAnsi="方正小标宋简体" w:eastAsia="方正小标宋简体" w:cs="宋体"/>
          <w:color w:val="auto"/>
          <w:kern w:val="0"/>
          <w:sz w:val="44"/>
          <w:szCs w:val="44"/>
          <w:shd w:val="clear" w:color="auto" w:fill="FFFFFF"/>
        </w:rPr>
        <w:t>年浙江大学青年教师教学</w:t>
      </w:r>
    </w:p>
    <w:p w14:paraId="5A9A3777">
      <w:pPr>
        <w:widowControl/>
        <w:spacing w:line="700" w:lineRule="exact"/>
        <w:jc w:val="center"/>
        <w:outlineLvl w:val="0"/>
        <w:rPr>
          <w:rFonts w:ascii="方正小标宋简体" w:hAnsi="方正小标宋简体" w:eastAsia="方正小标宋简体" w:cs="宋体"/>
          <w:color w:val="auto"/>
          <w:kern w:val="0"/>
          <w:sz w:val="44"/>
          <w:szCs w:val="44"/>
          <w:shd w:val="clear" w:color="auto" w:fill="FFFFFF"/>
        </w:rPr>
      </w:pPr>
      <w:r>
        <w:rPr>
          <w:rFonts w:ascii="方正小标宋简体" w:hAnsi="方正小标宋简体" w:eastAsia="方正小标宋简体" w:cs="宋体"/>
          <w:color w:val="auto"/>
          <w:kern w:val="0"/>
          <w:sz w:val="44"/>
          <w:szCs w:val="44"/>
          <w:shd w:val="clear" w:color="auto" w:fill="FFFFFF"/>
        </w:rPr>
        <w:t>竞赛</w:t>
      </w:r>
      <w:bookmarkEnd w:id="0"/>
      <w:r>
        <w:rPr>
          <w:rFonts w:ascii="方正小标宋简体" w:hAnsi="方正小标宋简体" w:eastAsia="方正小标宋简体" w:cs="宋体"/>
          <w:color w:val="auto"/>
          <w:kern w:val="0"/>
          <w:sz w:val="44"/>
          <w:szCs w:val="44"/>
          <w:shd w:val="clear" w:color="auto" w:fill="FFFFFF"/>
        </w:rPr>
        <w:t>的通知</w:t>
      </w:r>
    </w:p>
    <w:p w14:paraId="368244DA">
      <w:pPr>
        <w:spacing w:line="360" w:lineRule="auto"/>
        <w:ind w:firstLine="600"/>
        <w:rPr>
          <w:rFonts w:ascii="仿宋_GB2312" w:hAnsi="宋体" w:eastAsia="仿宋_GB2312"/>
          <w:color w:val="auto"/>
          <w:sz w:val="30"/>
          <w:szCs w:val="30"/>
        </w:rPr>
      </w:pPr>
    </w:p>
    <w:p w14:paraId="7600373D">
      <w:pPr>
        <w:spacing w:line="600" w:lineRule="exact"/>
        <w:rPr>
          <w:rFonts w:ascii="仿宋_GB2312" w:hAnsi="宋体" w:eastAsia="仿宋_GB2312"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</w:rPr>
        <w:t>各学院（系、教学单位）：</w:t>
      </w:r>
    </w:p>
    <w:p w14:paraId="5434B8C4">
      <w:pPr>
        <w:spacing w:line="600" w:lineRule="exact"/>
        <w:ind w:firstLine="640"/>
        <w:jc w:val="left"/>
        <w:rPr>
          <w:rFonts w:ascii="Times New Roman Regular" w:hAnsi="Times New Roman Regular" w:eastAsia="仿宋_GB2312" w:cs="Times New Roman Regular"/>
          <w:color w:val="auto"/>
          <w:sz w:val="32"/>
          <w:szCs w:val="32"/>
          <w:highlight w:val="lightGray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根据《关于举办第七届全国高校青年教师教学竞赛的通知》（总工办发〔2024〕11号）、《关于开展第十四届浙江省高校青年教师教学竞赛的通知》（浙教工〔2025〕8号）和《浙江大学青年教师教学竞赛实施办法》</w:t>
      </w:r>
      <w:bookmarkStart w:id="1" w:name="字号"/>
      <w:r>
        <w:rPr>
          <w:rFonts w:ascii="Times New Roman" w:hAnsi="Times New Roman" w:eastAsia="仿宋_GB2312"/>
          <w:color w:val="auto"/>
          <w:sz w:val="32"/>
          <w:szCs w:val="32"/>
        </w:rPr>
        <w:t>（浙大发本〔2017〕123号</w:t>
      </w:r>
      <w:bookmarkEnd w:id="1"/>
      <w:r>
        <w:rPr>
          <w:rFonts w:ascii="Times New Roman" w:hAnsi="Times New Roman" w:eastAsia="仿宋_GB2312"/>
          <w:color w:val="auto"/>
          <w:sz w:val="32"/>
          <w:szCs w:val="32"/>
        </w:rPr>
        <w:t>）</w:t>
      </w:r>
      <w:r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  <w:t>要求，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</w:rPr>
        <w:t>拟</w:t>
      </w:r>
      <w:r>
        <w:rPr>
          <w:rFonts w:ascii="Times New Roman" w:hAnsi="Times New Roman" w:eastAsia="仿宋_GB2312"/>
          <w:color w:val="auto"/>
          <w:sz w:val="32"/>
          <w:szCs w:val="32"/>
        </w:rPr>
        <w:t>举办2025年浙江大学青年教师教学竞赛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，并暂定</w:t>
      </w:r>
      <w:r>
        <w:rPr>
          <w:rFonts w:ascii="Times New Roman" w:hAnsi="Times New Roman" w:eastAsia="仿宋_GB2312"/>
          <w:color w:val="auto"/>
          <w:sz w:val="32"/>
          <w:szCs w:val="32"/>
        </w:rPr>
        <w:t>于11月21日（周五）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进行决赛</w:t>
      </w:r>
      <w:r>
        <w:rPr>
          <w:rFonts w:ascii="Times New Roman" w:hAnsi="Times New Roman" w:eastAsia="仿宋_GB2312"/>
          <w:color w:val="auto"/>
          <w:sz w:val="32"/>
          <w:szCs w:val="32"/>
        </w:rPr>
        <w:t>。现将有关事项通知如下：</w:t>
      </w:r>
    </w:p>
    <w:p w14:paraId="639CCEBE">
      <w:pPr>
        <w:spacing w:line="600" w:lineRule="exact"/>
        <w:ind w:firstLine="640"/>
        <w:rPr>
          <w:rFonts w:ascii="黑体" w:hAnsi="黑体" w:eastAsia="黑体" w:cs="黑体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一、竞赛宗旨</w:t>
      </w:r>
    </w:p>
    <w:p w14:paraId="625B654A">
      <w:pPr>
        <w:spacing w:line="600" w:lineRule="exact"/>
        <w:ind w:firstLine="640"/>
        <w:rPr>
          <w:rFonts w:ascii="仿宋_GB2312" w:hAnsi="宋体" w:eastAsia="仿宋_GB2312"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</w:rPr>
        <w:t>围绕立德树人根本任务，以加强师德师风建设、锤炼教学基本功为着力点，充分发挥教学竞赛在提高教师队伍素质中的示范引领作用，进一步激发青年教师更新教育理念和掌握现代教学方法的热情，努力造就一支有理想信念、有道德情操、有扎实学识、有仁爱之心的高素质、专业化教师队伍，推动学校一流本科教育事业持续发展。</w:t>
      </w:r>
    </w:p>
    <w:p w14:paraId="4F9E4782">
      <w:pPr>
        <w:widowControl/>
        <w:spacing w:line="600" w:lineRule="exact"/>
        <w:ind w:firstLine="640" w:firstLineChars="200"/>
        <w:jc w:val="left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二、竞赛原则</w:t>
      </w:r>
    </w:p>
    <w:p w14:paraId="0CAA1577">
      <w:pPr>
        <w:spacing w:line="600" w:lineRule="exact"/>
        <w:ind w:firstLine="640" w:firstLineChars="200"/>
        <w:rPr>
          <w:rFonts w:ascii="仿宋_GB2312" w:hAnsi="宋体" w:eastAsia="仿宋_GB2312"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</w:rPr>
        <w:t>坚持公平、公正、公开；坚持广泛参与、层层发动；坚持注重教学基本功和实际应用能力；坚持程序严谨、规范。</w:t>
      </w:r>
    </w:p>
    <w:p w14:paraId="13D7A3C0">
      <w:pPr>
        <w:spacing w:line="600" w:lineRule="exact"/>
        <w:ind w:firstLine="640" w:firstLineChars="200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三、参赛对象</w:t>
      </w:r>
    </w:p>
    <w:p w14:paraId="6A0179AF">
      <w:pPr>
        <w:widowControl/>
        <w:spacing w:line="600" w:lineRule="exact"/>
        <w:ind w:left="199" w:leftChars="95" w:firstLine="320" w:firstLineChars="100"/>
        <w:jc w:val="left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1. 在职教师，年龄原则上在40周岁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（含）</w:t>
      </w:r>
      <w:r>
        <w:rPr>
          <w:rFonts w:ascii="Times New Roman" w:hAnsi="Times New Roman" w:eastAsia="仿宋_GB2312"/>
          <w:color w:val="auto"/>
          <w:sz w:val="32"/>
          <w:szCs w:val="32"/>
        </w:rPr>
        <w:t>以下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  <w:lang w:bidi="ar"/>
        </w:rPr>
        <w:t>1985年8月31日后出生）</w:t>
      </w:r>
      <w:r>
        <w:rPr>
          <w:rFonts w:ascii="Times New Roman" w:hAnsi="Times New Roman" w:eastAsia="仿宋_GB2312"/>
          <w:color w:val="auto"/>
          <w:sz w:val="32"/>
          <w:szCs w:val="32"/>
        </w:rPr>
        <w:t>。</w:t>
      </w:r>
    </w:p>
    <w:p w14:paraId="0A7164F2">
      <w:pPr>
        <w:spacing w:line="600" w:lineRule="exact"/>
        <w:ind w:firstLine="64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2. 作为主讲教师开设课程1年及以上，且课堂教学质量评价优良，未发生教学事故。</w:t>
      </w:r>
    </w:p>
    <w:p w14:paraId="0D171054">
      <w:pPr>
        <w:spacing w:line="600" w:lineRule="exact"/>
        <w:ind w:firstLine="64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3. 遵守国家宪法和法律，贯彻党的教育方针，自觉践行社会主义核心价值观，具有良好的思想政治素质和师德师风修养，近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3</w:t>
      </w:r>
      <w:r>
        <w:rPr>
          <w:rFonts w:ascii="Times New Roman" w:hAnsi="Times New Roman" w:eastAsia="仿宋_GB2312"/>
          <w:color w:val="auto"/>
          <w:sz w:val="32"/>
          <w:szCs w:val="32"/>
        </w:rPr>
        <w:t>学年持续从事一线教学工作。</w:t>
      </w:r>
    </w:p>
    <w:p w14:paraId="7271748B">
      <w:pPr>
        <w:spacing w:line="600" w:lineRule="exact"/>
        <w:ind w:firstLine="640"/>
        <w:rPr>
          <w:rFonts w:ascii="Times New Roman Regular" w:hAnsi="Times New Roman Regular" w:eastAsia="黑体" w:cs="Times New Roman Regular"/>
          <w:color w:val="auto"/>
          <w:sz w:val="32"/>
          <w:szCs w:val="32"/>
        </w:rPr>
      </w:pPr>
      <w:r>
        <w:rPr>
          <w:rFonts w:ascii="Times New Roman Regular" w:hAnsi="Times New Roman Regular" w:eastAsia="黑体" w:cs="Times New Roman Regular"/>
          <w:color w:val="auto"/>
          <w:sz w:val="32"/>
          <w:szCs w:val="32"/>
        </w:rPr>
        <w:t>四、竞赛安排</w:t>
      </w:r>
    </w:p>
    <w:p w14:paraId="782EF1B4">
      <w:pPr>
        <w:spacing w:line="600" w:lineRule="exact"/>
        <w:ind w:firstLine="640"/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</w:pPr>
      <w:r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  <w:t>竞赛分初赛和决赛两个阶段，时间覆盖全年。</w:t>
      </w:r>
    </w:p>
    <w:p w14:paraId="2D63D7A7">
      <w:pPr>
        <w:spacing w:line="600" w:lineRule="exact"/>
        <w:ind w:firstLine="640"/>
        <w:rPr>
          <w:rFonts w:ascii="楷体_GB2312" w:hAnsi="楷体_GB2312" w:eastAsia="楷体_GB2312" w:cs="楷体_GB2312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（一）初赛</w:t>
      </w:r>
    </w:p>
    <w:p w14:paraId="4730115B">
      <w:pPr>
        <w:spacing w:line="600" w:lineRule="exact"/>
        <w:ind w:firstLine="64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1. 初赛由学院（系）负责组织。各学院（系、教学单位）结合所在学院（系）实际情况，总结历年办赛经验，分别开展院级青年教师教学比赛活动。</w:t>
      </w:r>
    </w:p>
    <w:p w14:paraId="4DFC5C43">
      <w:pPr>
        <w:spacing w:line="600" w:lineRule="exact"/>
        <w:ind w:firstLine="64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2. 建议初赛比赛内容、形式与学校决赛保持一致，</w:t>
      </w:r>
      <w:r>
        <w:rPr>
          <w:rFonts w:ascii="Times New Roman" w:hAnsi="Times New Roman" w:eastAsia="仿宋_GB2312"/>
          <w:color w:val="auto"/>
          <w:sz w:val="32"/>
          <w:szCs w:val="32"/>
        </w:rPr>
        <w:t>评委委员由专家、同行、督导及学生等组成。</w:t>
      </w:r>
    </w:p>
    <w:p w14:paraId="26223863">
      <w:pPr>
        <w:spacing w:line="600" w:lineRule="exact"/>
        <w:ind w:firstLine="64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 xml:space="preserve">3. 学院（系）根据参赛教师的初赛表现择优遴选决赛人选，并对参加学校决赛的教师给予专业的指导和培训。 </w:t>
      </w:r>
    </w:p>
    <w:p w14:paraId="453623C8">
      <w:pPr>
        <w:spacing w:line="600" w:lineRule="exact"/>
        <w:ind w:firstLine="640"/>
        <w:rPr>
          <w:rFonts w:ascii="楷体_GB2312" w:hAnsi="楷体_GB2312" w:eastAsia="楷体_GB2312" w:cs="楷体_GB2312"/>
          <w:color w:val="auto"/>
          <w:sz w:val="32"/>
          <w:szCs w:val="32"/>
        </w:rPr>
      </w:pPr>
      <w:r>
        <w:rPr>
          <w:rFonts w:ascii="楷体_GB2312" w:hAnsi="楷体_GB2312" w:eastAsia="楷体_GB2312" w:cs="楷体_GB2312"/>
          <w:color w:val="auto"/>
          <w:sz w:val="32"/>
          <w:szCs w:val="32"/>
        </w:rPr>
        <w:t>（二）决赛</w:t>
      </w:r>
    </w:p>
    <w:p w14:paraId="02EEB149">
      <w:pPr>
        <w:spacing w:line="600" w:lineRule="exact"/>
        <w:ind w:firstLine="64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1. 决赛由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本科生院教学研究处</w:t>
      </w:r>
      <w:r>
        <w:rPr>
          <w:rFonts w:ascii="Times New Roman" w:hAnsi="Times New Roman" w:eastAsia="仿宋_GB2312"/>
          <w:color w:val="auto"/>
          <w:sz w:val="32"/>
          <w:szCs w:val="32"/>
        </w:rPr>
        <w:t>负责组织，时间暂定11月21日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（周五）</w:t>
      </w:r>
      <w:r>
        <w:rPr>
          <w:rFonts w:ascii="Times New Roman" w:hAnsi="Times New Roman" w:eastAsia="仿宋_GB2312"/>
          <w:color w:val="auto"/>
          <w:sz w:val="32"/>
          <w:szCs w:val="32"/>
        </w:rPr>
        <w:t>，具体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时间、地点及分组等</w:t>
      </w:r>
      <w:r>
        <w:rPr>
          <w:rFonts w:ascii="Times New Roman" w:hAnsi="Times New Roman" w:eastAsia="仿宋_GB2312"/>
          <w:color w:val="auto"/>
          <w:sz w:val="32"/>
          <w:szCs w:val="32"/>
        </w:rPr>
        <w:t>事宜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赛前在参赛教师钉钉群中</w:t>
      </w:r>
      <w:r>
        <w:rPr>
          <w:rFonts w:ascii="Times New Roman" w:hAnsi="Times New Roman" w:eastAsia="仿宋_GB2312"/>
          <w:color w:val="auto"/>
          <w:sz w:val="32"/>
          <w:szCs w:val="32"/>
        </w:rPr>
        <w:t>另行通知。</w:t>
      </w:r>
    </w:p>
    <w:p w14:paraId="74D5BEF3">
      <w:pPr>
        <w:spacing w:line="600" w:lineRule="exact"/>
        <w:ind w:firstLine="64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决赛</w:t>
      </w:r>
      <w:r>
        <w:rPr>
          <w:rFonts w:ascii="Times New Roman" w:hAnsi="Times New Roman" w:eastAsia="仿宋_GB2312"/>
          <w:color w:val="auto"/>
          <w:sz w:val="32"/>
          <w:szCs w:val="32"/>
        </w:rPr>
        <w:t>分组原则上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参照以下</w:t>
      </w:r>
      <w:r>
        <w:rPr>
          <w:rFonts w:ascii="Times New Roman" w:hAnsi="Times New Roman" w:eastAsia="仿宋_GB2312"/>
          <w:color w:val="auto"/>
          <w:sz w:val="32"/>
          <w:szCs w:val="32"/>
        </w:rPr>
        <w:t>的学科分布情况进行。</w:t>
      </w:r>
    </w:p>
    <w:p w14:paraId="4D513F2D">
      <w:pPr>
        <w:spacing w:line="600" w:lineRule="exact"/>
        <w:ind w:firstLine="64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文科含01哲学、02经济学、03法学、04教育学、05文学、06历史学、12管理学、13艺术学；理科含07理学；工科含08工学、09农学；医科含10医学；思想政治课专项含学校培养方案要求的思政类课程。</w:t>
      </w:r>
    </w:p>
    <w:p w14:paraId="3A768205">
      <w:pPr>
        <w:numPr>
          <w:ilvl w:val="0"/>
          <w:numId w:val="1"/>
        </w:numPr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决赛内容以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“</w:t>
      </w:r>
      <w:r>
        <w:rPr>
          <w:rFonts w:ascii="Times New Roman" w:hAnsi="Times New Roman" w:eastAsia="仿宋_GB2312"/>
          <w:color w:val="auto"/>
          <w:sz w:val="32"/>
          <w:szCs w:val="32"/>
        </w:rPr>
        <w:t>上好一门课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”</w:t>
      </w:r>
      <w:r>
        <w:rPr>
          <w:rFonts w:ascii="Times New Roman" w:hAnsi="Times New Roman" w:eastAsia="仿宋_GB2312"/>
          <w:color w:val="auto"/>
          <w:sz w:val="32"/>
          <w:szCs w:val="32"/>
        </w:rPr>
        <w:t>为竞赛理念，由教学设计、课堂教学和教学反思三部分组成，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三部分分数</w:t>
      </w:r>
      <w:r>
        <w:rPr>
          <w:rFonts w:ascii="Times New Roman" w:hAnsi="Times New Roman" w:eastAsia="仿宋_GB2312"/>
          <w:color w:val="auto"/>
          <w:sz w:val="32"/>
          <w:szCs w:val="32"/>
        </w:rPr>
        <w:t>分别为20%、75%、5%。</w:t>
      </w:r>
    </w:p>
    <w:p w14:paraId="644D84F8">
      <w:pPr>
        <w:spacing w:line="600" w:lineRule="exact"/>
        <w:ind w:firstLine="640"/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</w:pPr>
      <w:r>
        <w:rPr>
          <w:rFonts w:ascii="仿宋_GB2312" w:eastAsia="仿宋_GB2312"/>
          <w:color w:val="auto"/>
          <w:sz w:val="32"/>
          <w:szCs w:val="32"/>
        </w:rPr>
        <w:t>（</w:t>
      </w:r>
      <w:r>
        <w:rPr>
          <w:rFonts w:ascii="Times New Roman" w:hAnsi="Times New Roman" w:eastAsia="仿宋_GB2312"/>
          <w:color w:val="auto"/>
          <w:sz w:val="32"/>
          <w:szCs w:val="32"/>
        </w:rPr>
        <w:t>1</w:t>
      </w:r>
      <w:r>
        <w:rPr>
          <w:rFonts w:ascii="仿宋_GB2312" w:eastAsia="仿宋_GB2312"/>
          <w:color w:val="auto"/>
          <w:sz w:val="32"/>
          <w:szCs w:val="32"/>
        </w:rPr>
        <w:t>）</w:t>
      </w:r>
      <w:r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  <w:t>教学设计是指以</w:t>
      </w:r>
      <w:r>
        <w:rPr>
          <w:rFonts w:ascii="Times New Roman" w:hAnsi="Times New Roman" w:eastAsia="仿宋_GB2312"/>
          <w:color w:val="auto"/>
          <w:sz w:val="32"/>
          <w:szCs w:val="32"/>
        </w:rPr>
        <w:t>1个学时为基</w:t>
      </w:r>
      <w:r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  <w:t>本单位，对教学活动的设想与安排。主要包括课程名称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</w:rPr>
        <w:t>（注明对应的参赛课程大纲章节）</w:t>
      </w:r>
      <w:r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  <w:t>、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</w:rPr>
        <w:t>教学指导思想、内容分析、</w:t>
      </w:r>
      <w:r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  <w:t>学情分析、教学目标、教学重点与难点、教学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</w:rPr>
        <w:t>过程设计</w:t>
      </w:r>
      <w:r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  <w:t>等。</w:t>
      </w:r>
    </w:p>
    <w:p w14:paraId="21E85BBC">
      <w:pPr>
        <w:spacing w:line="600" w:lineRule="exact"/>
        <w:ind w:firstLine="640"/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</w:pPr>
      <w:r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  <w:t>教师需准备参赛课</w:t>
      </w:r>
      <w:r>
        <w:rPr>
          <w:rFonts w:ascii="Times New Roman" w:hAnsi="Times New Roman" w:eastAsia="仿宋_GB2312"/>
          <w:color w:val="auto"/>
          <w:sz w:val="32"/>
          <w:szCs w:val="32"/>
        </w:rPr>
        <w:t>程2个学时</w:t>
      </w:r>
      <w:r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  <w:t>的教学设计方案，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</w:rPr>
        <w:t>每个学时的教学设计方案注明对应的参赛课程大纲章节。</w:t>
      </w:r>
      <w:r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  <w:t>评委将对整套教学设计方案进行打分。</w:t>
      </w:r>
    </w:p>
    <w:p w14:paraId="089AAFCA">
      <w:pPr>
        <w:spacing w:line="600" w:lineRule="exact"/>
        <w:ind w:firstLine="640"/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  <w:lang w:val="en-US" w:eastAsia="zh-CN"/>
        </w:rPr>
      </w:pPr>
      <w:r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  <w:t>（</w:t>
      </w:r>
      <w:r>
        <w:rPr>
          <w:rFonts w:ascii="Times New Roman" w:hAnsi="Times New Roman" w:eastAsia="仿宋_GB2312"/>
          <w:color w:val="auto"/>
          <w:sz w:val="32"/>
          <w:szCs w:val="32"/>
        </w:rPr>
        <w:t>2</w:t>
      </w:r>
      <w:r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  <w:t>）课堂教学</w:t>
      </w:r>
    </w:p>
    <w:p w14:paraId="4B4F8830">
      <w:pPr>
        <w:spacing w:line="600" w:lineRule="exact"/>
        <w:ind w:firstLine="64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  <w:t>课堂教学规定时间为</w:t>
      </w:r>
      <w:r>
        <w:rPr>
          <w:rFonts w:ascii="Times New Roman" w:hAnsi="Times New Roman" w:eastAsia="仿宋_GB2312"/>
          <w:color w:val="auto"/>
          <w:sz w:val="32"/>
          <w:szCs w:val="32"/>
        </w:rPr>
        <w:t>20分钟。评委主要从教学内容、教学组织、教学语言与教态、教学特色四个方面进行评审。参赛教师需提前准备参赛课程2个学时相对应的2个课堂教学节段的PPT，课堂教学内容要与提交的教学设计内容对应、一致。</w:t>
      </w:r>
    </w:p>
    <w:p w14:paraId="5FB07458">
      <w:pPr>
        <w:spacing w:line="600" w:lineRule="exact"/>
        <w:ind w:firstLine="640" w:firstLineChars="200"/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</w:pP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</w:rPr>
        <w:t>（</w:t>
      </w:r>
      <w:r>
        <w:rPr>
          <w:rFonts w:ascii="Times New Roman" w:hAnsi="Times New Roman" w:eastAsia="仿宋_GB2312"/>
          <w:color w:val="auto"/>
          <w:sz w:val="32"/>
          <w:szCs w:val="32"/>
        </w:rPr>
        <w:t>3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</w:rPr>
        <w:t>）</w:t>
      </w:r>
      <w:r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  <w:t>教学反思</w:t>
      </w:r>
    </w:p>
    <w:p w14:paraId="7A33BD50">
      <w:pPr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  <w:t>参赛教师结束课堂教学环节后，进入指定教室，结合现场展示课堂教学节段的课堂教学实际，从教学理念、教学方法和教学过程三方面着手，在</w:t>
      </w:r>
      <w:r>
        <w:rPr>
          <w:rFonts w:ascii="Times New Roman" w:hAnsi="Times New Roman" w:eastAsia="仿宋_GB2312"/>
          <w:color w:val="auto"/>
          <w:sz w:val="32"/>
          <w:szCs w:val="32"/>
        </w:rPr>
        <w:t>45分钟内完成对本讲课节段的教学反思材料（500字以内）。要求思路清晰、观点明确、联系实际，做到有感而发。反思室提供电脑，不允许携带任何书面或电子等形式的资料。</w:t>
      </w:r>
    </w:p>
    <w:p w14:paraId="430685F4">
      <w:pPr>
        <w:spacing w:line="600" w:lineRule="exact"/>
        <w:ind w:firstLine="640"/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</w:pPr>
      <w:r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  <w:t>（4）计分方法</w:t>
      </w:r>
    </w:p>
    <w:p w14:paraId="4860C95B">
      <w:pPr>
        <w:spacing w:line="600" w:lineRule="exact"/>
        <w:ind w:firstLine="640" w:firstLineChars="200"/>
        <w:rPr>
          <w:rFonts w:ascii="Times New Roman Regular" w:hAnsi="Times New Roman Regular" w:eastAsia="仿宋_GB2312" w:cs="Times New Roman Regular"/>
          <w:color w:val="auto"/>
          <w:sz w:val="32"/>
          <w:szCs w:val="32"/>
          <w:highlight w:val="lightGray"/>
        </w:rPr>
      </w:pPr>
      <w:r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  <w:t>评委评分实行实名制，教学设计、课堂教学、教学反思三部分具体评分细则附后（</w:t>
      </w:r>
      <w:r>
        <w:rPr>
          <w:rFonts w:ascii="Times New Roman" w:hAnsi="Times New Roman" w:eastAsia="仿宋_GB2312"/>
          <w:color w:val="auto"/>
          <w:sz w:val="32"/>
          <w:szCs w:val="32"/>
        </w:rPr>
        <w:t>参见附件1）</w:t>
      </w:r>
      <w:r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  <w:t>。成绩评定采用百分制，参赛教师三个部分的得分相加为最终得分。</w:t>
      </w:r>
    </w:p>
    <w:p w14:paraId="22FF874B">
      <w:pPr>
        <w:spacing w:line="600" w:lineRule="exact"/>
        <w:ind w:firstLine="640"/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</w:pP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</w:rPr>
        <w:t>（5）注意事项</w:t>
      </w:r>
    </w:p>
    <w:p w14:paraId="3ADA2C39">
      <w:pPr>
        <w:numPr>
          <w:ilvl w:val="0"/>
          <w:numId w:val="2"/>
        </w:numPr>
        <w:spacing w:line="600" w:lineRule="exact"/>
        <w:ind w:left="945" w:leftChars="450"/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</w:pPr>
      <w:r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  <w:t>教师参赛课程的实际学分要求不得少于2个学分（含2个学分）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</w:rPr>
        <w:t>；</w:t>
      </w:r>
    </w:p>
    <w:p w14:paraId="5F0D8962">
      <w:pPr>
        <w:numPr>
          <w:ilvl w:val="0"/>
          <w:numId w:val="2"/>
        </w:numPr>
        <w:spacing w:line="600" w:lineRule="exact"/>
        <w:ind w:left="945" w:leftChars="450"/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</w:pP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</w:rPr>
        <w:t>教师在教学设计、课堂教学、教学反思中提交的材料不得出现姓名、学校、学院（系）等任何与个人相关的信息；</w:t>
      </w:r>
    </w:p>
    <w:p w14:paraId="1C003E9B">
      <w:pPr>
        <w:numPr>
          <w:ilvl w:val="0"/>
          <w:numId w:val="2"/>
        </w:numPr>
        <w:spacing w:line="600" w:lineRule="exact"/>
        <w:ind w:left="945" w:leftChars="450"/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</w:pP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</w:rPr>
        <w:t>赛务组将在赛前召开评审专家预备会议，并抽签确定参赛教师现场展示的1个课堂教学节段；赛务组负责在每位参赛教师正式决赛前1小时左右告知参赛教师；</w:t>
      </w:r>
    </w:p>
    <w:p w14:paraId="71BCAA08">
      <w:pPr>
        <w:numPr>
          <w:ilvl w:val="0"/>
          <w:numId w:val="2"/>
        </w:numPr>
        <w:spacing w:line="600" w:lineRule="exact"/>
        <w:ind w:left="945" w:leftChars="450"/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</w:pPr>
      <w:r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  <w:t>根据各自参赛课程需要，教师可携带教学模型、挂图等，白板笔、翻页器由决赛会务筹备组统一提供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</w:rPr>
        <w:t>；</w:t>
      </w:r>
    </w:p>
    <w:p w14:paraId="4623D2AF">
      <w:pPr>
        <w:numPr>
          <w:ilvl w:val="0"/>
          <w:numId w:val="2"/>
        </w:numPr>
        <w:spacing w:line="600" w:lineRule="exact"/>
        <w:ind w:left="945" w:leftChars="450"/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</w:pP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</w:rPr>
        <w:t>课堂教学采取“无生上课”的形式，并全程录像，视频版权归办赛方所有。</w:t>
      </w:r>
    </w:p>
    <w:p w14:paraId="669804D2">
      <w:pPr>
        <w:spacing w:line="600" w:lineRule="exact"/>
        <w:ind w:firstLine="640" w:firstLineChars="200"/>
        <w:rPr>
          <w:rFonts w:ascii="Times New Roman Regular" w:hAnsi="Times New Roman Regular" w:eastAsia="黑体" w:cs="Times New Roman Regular"/>
          <w:color w:val="auto"/>
          <w:sz w:val="32"/>
          <w:szCs w:val="32"/>
        </w:rPr>
      </w:pPr>
      <w:r>
        <w:rPr>
          <w:rFonts w:ascii="Times New Roman Regular" w:hAnsi="Times New Roman Regular" w:eastAsia="黑体" w:cs="Times New Roman Regular"/>
          <w:color w:val="auto"/>
          <w:sz w:val="32"/>
          <w:szCs w:val="32"/>
        </w:rPr>
        <w:t>五、奖项设置与奖励标准</w:t>
      </w:r>
    </w:p>
    <w:p w14:paraId="7269EF69">
      <w:pPr>
        <w:spacing w:line="600" w:lineRule="exact"/>
        <w:ind w:firstLine="640"/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</w:pPr>
      <w:r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  <w:t>奖项设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</w:rPr>
        <w:t>：</w:t>
      </w:r>
      <w:r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  <w:t>特等奖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</w:rPr>
        <w:t>（可空缺）</w:t>
      </w:r>
      <w:r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  <w:t>，奖励15000元/人；一等奖，奖励10000元/人；二等奖，奖励8000元/人；三等奖，奖励5000元/人。</w:t>
      </w:r>
    </w:p>
    <w:p w14:paraId="51695A49">
      <w:pPr>
        <w:spacing w:line="600" w:lineRule="exact"/>
        <w:ind w:firstLine="641"/>
        <w:rPr>
          <w:rFonts w:ascii="Times New Roman" w:hAnsi="Times New Roman" w:eastAsia="黑体"/>
          <w:color w:val="auto"/>
          <w:sz w:val="32"/>
          <w:szCs w:val="32"/>
        </w:rPr>
      </w:pPr>
      <w:r>
        <w:rPr>
          <w:rFonts w:hint="eastAsia" w:ascii="Times New Roman" w:hAnsi="Times New Roman" w:eastAsia="黑体"/>
          <w:color w:val="auto"/>
          <w:sz w:val="32"/>
          <w:szCs w:val="32"/>
        </w:rPr>
        <w:t>六、竞赛材料要求</w:t>
      </w:r>
    </w:p>
    <w:p w14:paraId="35FBCB2D">
      <w:pPr>
        <w:widowControl/>
        <w:spacing w:line="600" w:lineRule="exact"/>
        <w:ind w:firstLine="643" w:firstLineChars="200"/>
        <w:jc w:val="left"/>
        <w:rPr>
          <w:rFonts w:ascii="Times New Roman" w:hAnsi="Times New Roman" w:eastAsia="楷体_GB2312"/>
          <w:b/>
          <w:bCs/>
          <w:color w:val="auto"/>
          <w:sz w:val="32"/>
          <w:szCs w:val="32"/>
        </w:rPr>
      </w:pPr>
      <w:r>
        <w:rPr>
          <w:rFonts w:ascii="Times New Roman" w:hAnsi="Times New Roman" w:eastAsia="楷体_GB2312"/>
          <w:b/>
          <w:bCs/>
          <w:color w:val="auto"/>
          <w:sz w:val="32"/>
          <w:szCs w:val="32"/>
        </w:rPr>
        <w:t>（一）参赛教师提交材料</w:t>
      </w:r>
    </w:p>
    <w:p w14:paraId="66A008E3">
      <w:pPr>
        <w:spacing w:line="600" w:lineRule="exact"/>
        <w:ind w:firstLine="640"/>
        <w:rPr>
          <w:rFonts w:ascii="Times New Roman" w:hAnsi="Times New Roman" w:eastAsia="仿宋_GB2312"/>
          <w:b/>
          <w:bCs/>
          <w:color w:val="auto"/>
          <w:sz w:val="32"/>
          <w:szCs w:val="32"/>
        </w:rPr>
      </w:pPr>
      <w:r>
        <w:rPr>
          <w:rFonts w:ascii="Times New Roman" w:hAnsi="Times New Roman" w:eastAsia="仿宋_GB2312"/>
          <w:b/>
          <w:bCs/>
          <w:color w:val="auto"/>
          <w:sz w:val="32"/>
          <w:szCs w:val="32"/>
        </w:rPr>
        <w:t xml:space="preserve">1. </w:t>
      </w:r>
      <w:r>
        <w:rPr>
          <w:rFonts w:hint="eastAsia" w:ascii="Times New Roman" w:hAnsi="Times New Roman" w:eastAsia="仿宋_GB2312"/>
          <w:b/>
          <w:bCs/>
          <w:color w:val="auto"/>
          <w:sz w:val="32"/>
          <w:szCs w:val="32"/>
        </w:rPr>
        <w:t>教学大纲</w:t>
      </w:r>
    </w:p>
    <w:p w14:paraId="011246D6"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主要包括课程名称、基本信息（课程性质、教学时数、学分、学生对象）、课程简介、课程目标、课程内容与教学安排、课程评价、建议阅读文献等要素，无统一模版。</w:t>
      </w:r>
    </w:p>
    <w:p w14:paraId="66913320">
      <w:pPr>
        <w:spacing w:line="600" w:lineRule="exact"/>
        <w:ind w:firstLine="640"/>
        <w:rPr>
          <w:rFonts w:ascii="Times New Roman" w:hAnsi="Times New Roman" w:eastAsia="仿宋_GB2312"/>
          <w:b/>
          <w:bCs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color w:val="auto"/>
          <w:sz w:val="32"/>
          <w:szCs w:val="32"/>
        </w:rPr>
        <w:t>2</w:t>
      </w:r>
      <w:r>
        <w:rPr>
          <w:rFonts w:ascii="Times New Roman" w:hAnsi="Times New Roman" w:eastAsia="仿宋_GB2312"/>
          <w:b/>
          <w:bCs/>
          <w:color w:val="auto"/>
          <w:sz w:val="32"/>
          <w:szCs w:val="32"/>
        </w:rPr>
        <w:t xml:space="preserve">. </w:t>
      </w:r>
      <w:r>
        <w:rPr>
          <w:rFonts w:hint="eastAsia" w:ascii="Times New Roman" w:hAnsi="Times New Roman" w:eastAsia="仿宋_GB2312"/>
          <w:b/>
          <w:bCs/>
          <w:color w:val="auto"/>
          <w:sz w:val="32"/>
          <w:szCs w:val="32"/>
        </w:rPr>
        <w:t>教学设计</w:t>
      </w:r>
    </w:p>
    <w:p w14:paraId="1014A2B6"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2个学时的教学设计方案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，格式为PDF文档通用格式，无统一模版。</w:t>
      </w:r>
    </w:p>
    <w:p w14:paraId="02563D95">
      <w:pPr>
        <w:widowControl/>
        <w:numPr>
          <w:ilvl w:val="0"/>
          <w:numId w:val="3"/>
        </w:numPr>
        <w:spacing w:line="600" w:lineRule="exact"/>
        <w:ind w:firstLine="643" w:firstLineChars="200"/>
        <w:jc w:val="left"/>
        <w:rPr>
          <w:rFonts w:ascii="Times New Roman" w:hAnsi="Times New Roman" w:eastAsia="仿宋_GB2312"/>
          <w:b/>
          <w:bCs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color w:val="auto"/>
          <w:sz w:val="32"/>
          <w:szCs w:val="32"/>
        </w:rPr>
        <w:t>课堂教学节段PPT</w:t>
      </w:r>
    </w:p>
    <w:p w14:paraId="0BB02201"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与2个学时教学设计方案相对应的2个课堂教学节段的PPT，格式为PowerPoint演示文稿16：9大小，分辨率为1600*900。</w:t>
      </w:r>
    </w:p>
    <w:p w14:paraId="303FB9E7">
      <w:pPr>
        <w:adjustRightInd w:val="0"/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请于2025年11月7日24:00前，将2个教学设计和参赛课程教学大纲，以参赛学科、姓名和学院命名，通过邮件发至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"mailto:jsfz@zju.edu.cn。" </w:instrText>
      </w:r>
      <w:r>
        <w:rPr>
          <w:color w:val="auto"/>
        </w:rPr>
        <w:fldChar w:fldCharType="separate"/>
      </w:r>
      <w:r>
        <w:rPr>
          <w:rStyle w:val="7"/>
          <w:rFonts w:hint="eastAsia" w:ascii="Times New Roman" w:hAnsi="Times New Roman" w:eastAsia="仿宋_GB2312"/>
          <w:color w:val="auto"/>
          <w:sz w:val="32"/>
          <w:szCs w:val="32"/>
        </w:rPr>
        <w:t>jsfz@zju.edu.cn。</w:t>
      </w:r>
      <w:r>
        <w:rPr>
          <w:rStyle w:val="7"/>
          <w:rFonts w:hint="eastAsia" w:ascii="Times New Roman" w:hAnsi="Times New Roman" w:eastAsia="仿宋_GB2312"/>
          <w:color w:val="auto"/>
          <w:sz w:val="32"/>
          <w:szCs w:val="32"/>
        </w:rPr>
        <w:fldChar w:fldCharType="end"/>
      </w:r>
    </w:p>
    <w:p w14:paraId="24114D96">
      <w:pPr>
        <w:widowControl/>
        <w:numPr>
          <w:ilvl w:val="255"/>
          <w:numId w:val="0"/>
        </w:numPr>
        <w:adjustRightInd w:val="0"/>
        <w:spacing w:line="600" w:lineRule="exact"/>
        <w:ind w:firstLine="640" w:firstLineChars="200"/>
        <w:jc w:val="left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课堂教学PPT请选用16：9格式演示，并于11月18日（周二）18：00前，将2个教学单元的现场课堂教学展示PPT发至jsfz@zju.edu.cn邮箱，便于赛务组提前将参赛教师PPT拷入比赛教室电脑。</w:t>
      </w:r>
    </w:p>
    <w:p w14:paraId="34665ADB">
      <w:pPr>
        <w:adjustRightInd w:val="0"/>
        <w:spacing w:line="600" w:lineRule="exact"/>
        <w:ind w:firstLine="643" w:firstLineChars="200"/>
        <w:rPr>
          <w:rFonts w:ascii="Times New Roman" w:hAnsi="Times New Roman" w:eastAsia="楷体_GB2312"/>
          <w:b/>
          <w:bCs/>
          <w:color w:val="auto"/>
          <w:sz w:val="32"/>
          <w:szCs w:val="32"/>
        </w:rPr>
      </w:pPr>
      <w:r>
        <w:rPr>
          <w:rFonts w:hint="eastAsia" w:ascii="Times New Roman" w:hAnsi="Times New Roman" w:eastAsia="楷体_GB2312"/>
          <w:b/>
          <w:bCs/>
          <w:color w:val="auto"/>
          <w:sz w:val="32"/>
          <w:szCs w:val="32"/>
        </w:rPr>
        <w:t>（二）</w:t>
      </w:r>
      <w:r>
        <w:rPr>
          <w:rFonts w:ascii="Times New Roman" w:hAnsi="Times New Roman" w:eastAsia="楷体_GB2312"/>
          <w:b/>
          <w:bCs/>
          <w:color w:val="auto"/>
          <w:sz w:val="32"/>
          <w:szCs w:val="32"/>
        </w:rPr>
        <w:t>单位提交材料</w:t>
      </w:r>
    </w:p>
    <w:p w14:paraId="7B17C6AE">
      <w:pPr>
        <w:spacing w:line="600" w:lineRule="exact"/>
        <w:ind w:firstLine="640"/>
        <w:rPr>
          <w:rFonts w:ascii="Times New Roman" w:hAnsi="Times New Roman" w:eastAsia="仿宋_GB2312"/>
          <w:b/>
          <w:bCs/>
          <w:color w:val="auto"/>
          <w:sz w:val="32"/>
          <w:szCs w:val="32"/>
        </w:rPr>
      </w:pPr>
      <w:r>
        <w:rPr>
          <w:rFonts w:ascii="Times New Roman" w:hAnsi="Times New Roman" w:eastAsia="仿宋_GB2312"/>
          <w:b/>
          <w:bCs/>
          <w:color w:val="auto"/>
          <w:sz w:val="32"/>
          <w:szCs w:val="32"/>
        </w:rPr>
        <w:t xml:space="preserve">1. </w:t>
      </w:r>
      <w:r>
        <w:rPr>
          <w:rFonts w:hint="eastAsia" w:ascii="Times New Roman" w:hAnsi="Times New Roman" w:eastAsia="仿宋_GB2312"/>
          <w:b/>
          <w:bCs/>
          <w:color w:val="auto"/>
          <w:sz w:val="32"/>
          <w:szCs w:val="32"/>
        </w:rPr>
        <w:t>初赛方案</w:t>
      </w:r>
    </w:p>
    <w:p w14:paraId="4BF6EE4C">
      <w:pPr>
        <w:spacing w:line="600" w:lineRule="exact"/>
        <w:ind w:firstLine="64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请各学院（系、教学单位）参照校赛，认真组织院级初赛，制定初赛方案，并于</w:t>
      </w:r>
      <w:r>
        <w:rPr>
          <w:rFonts w:ascii="Times New Roman" w:hAnsi="Times New Roman" w:eastAsia="仿宋_GB2312"/>
          <w:bCs/>
          <w:color w:val="auto"/>
          <w:sz w:val="32"/>
          <w:szCs w:val="32"/>
        </w:rPr>
        <w:t>6月30日前</w:t>
      </w:r>
      <w:r>
        <w:rPr>
          <w:rFonts w:ascii="Times New Roman" w:hAnsi="Times New Roman" w:eastAsia="仿宋_GB2312"/>
          <w:color w:val="auto"/>
          <w:sz w:val="32"/>
          <w:szCs w:val="32"/>
        </w:rPr>
        <w:t>将比赛方案发至jsfz@zju.edu.cn邮箱。</w:t>
      </w:r>
    </w:p>
    <w:p w14:paraId="37FAC4A3">
      <w:pPr>
        <w:spacing w:line="600" w:lineRule="exact"/>
        <w:ind w:firstLine="640"/>
        <w:rPr>
          <w:rFonts w:ascii="Times New Roman" w:hAnsi="Times New Roman" w:eastAsia="仿宋_GB2312"/>
          <w:b/>
          <w:bCs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color w:val="auto"/>
          <w:sz w:val="32"/>
          <w:szCs w:val="32"/>
        </w:rPr>
        <w:t>2</w:t>
      </w:r>
      <w:r>
        <w:rPr>
          <w:rFonts w:ascii="Times New Roman" w:hAnsi="Times New Roman" w:eastAsia="仿宋_GB2312"/>
          <w:b/>
          <w:bCs/>
          <w:color w:val="auto"/>
          <w:sz w:val="32"/>
          <w:szCs w:val="32"/>
        </w:rPr>
        <w:t xml:space="preserve">. </w:t>
      </w:r>
      <w:r>
        <w:rPr>
          <w:rFonts w:hint="eastAsia" w:ascii="Times New Roman" w:hAnsi="Times New Roman" w:eastAsia="仿宋_GB2312"/>
          <w:b/>
          <w:bCs/>
          <w:color w:val="auto"/>
          <w:sz w:val="32"/>
          <w:szCs w:val="32"/>
        </w:rPr>
        <w:t>汇总表和申报表</w:t>
      </w:r>
    </w:p>
    <w:p w14:paraId="12A998FA">
      <w:pPr>
        <w:spacing w:line="600" w:lineRule="exact"/>
        <w:ind w:firstLine="64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原则上每个学院（系、教学单位）最多推荐2名（其中医学院限报7名，马克思主义学院限报6名）教师参加校级决赛。请各学院（系、教学单位）于</w:t>
      </w:r>
      <w:r>
        <w:rPr>
          <w:rFonts w:ascii="Times New Roman" w:hAnsi="Times New Roman" w:eastAsia="仿宋_GB2312"/>
          <w:bCs/>
          <w:color w:val="auto"/>
          <w:sz w:val="32"/>
          <w:szCs w:val="32"/>
        </w:rPr>
        <w:t>10月24日前，</w:t>
      </w:r>
      <w:r>
        <w:rPr>
          <w:rFonts w:ascii="Times New Roman" w:hAnsi="Times New Roman" w:eastAsia="仿宋_GB2312"/>
          <w:color w:val="auto"/>
          <w:sz w:val="32"/>
          <w:szCs w:val="32"/>
        </w:rPr>
        <w:t>将推荐校级决赛参赛教师汇总表（附件2）和申报表（附件3）统一打包发至jsfz@zju.edu.cn邮箱。</w:t>
      </w:r>
    </w:p>
    <w:p w14:paraId="5588EE19">
      <w:pPr>
        <w:pStyle w:val="13"/>
        <w:numPr>
          <w:ilvl w:val="0"/>
          <w:numId w:val="1"/>
        </w:numPr>
        <w:spacing w:line="600" w:lineRule="exact"/>
        <w:ind w:firstLineChars="0"/>
        <w:rPr>
          <w:rFonts w:ascii="Times New Roman" w:hAnsi="Times New Roman" w:eastAsia="仿宋_GB2312"/>
          <w:b/>
          <w:bCs/>
          <w:color w:val="auto"/>
          <w:sz w:val="32"/>
          <w:szCs w:val="32"/>
        </w:rPr>
      </w:pPr>
      <w:r>
        <w:rPr>
          <w:rFonts w:ascii="Times New Roman" w:hAnsi="Times New Roman" w:eastAsia="仿宋_GB2312"/>
          <w:b/>
          <w:bCs/>
          <w:color w:val="auto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/>
          <w:b/>
          <w:bCs/>
          <w:color w:val="auto"/>
          <w:sz w:val="32"/>
          <w:szCs w:val="32"/>
        </w:rPr>
        <w:t>宣传材料</w:t>
      </w:r>
    </w:p>
    <w:p w14:paraId="00C5A332">
      <w:pPr>
        <w:spacing w:line="600" w:lineRule="exact"/>
        <w:ind w:firstLine="64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请各学院（系、教学单位）将初赛组织中发布的竞赛通知、新闻报道、获奖名单公示等内容报备本科生院教学研究处，可同时推送至本科生院网站或微信公众号。</w:t>
      </w:r>
    </w:p>
    <w:p w14:paraId="3EAEEE40">
      <w:pPr>
        <w:spacing w:line="600" w:lineRule="exact"/>
        <w:ind w:firstLine="640" w:firstLineChars="200"/>
        <w:rPr>
          <w:rFonts w:ascii="Times New Roman Regular" w:hAnsi="Times New Roman Regular" w:eastAsia="黑体" w:cs="Times New Roman Regular"/>
          <w:bCs/>
          <w:color w:val="auto"/>
          <w:sz w:val="32"/>
          <w:szCs w:val="32"/>
        </w:rPr>
      </w:pPr>
      <w:r>
        <w:rPr>
          <w:rFonts w:ascii="Times New Roman Regular" w:hAnsi="Times New Roman Regular" w:eastAsia="黑体" w:cs="Times New Roman Regular"/>
          <w:bCs/>
          <w:color w:val="auto"/>
          <w:sz w:val="32"/>
          <w:szCs w:val="32"/>
        </w:rPr>
        <w:t>七、其它</w:t>
      </w:r>
    </w:p>
    <w:p w14:paraId="132CC309">
      <w:pPr>
        <w:spacing w:line="600" w:lineRule="exact"/>
        <w:ind w:firstLine="640" w:firstLineChars="200"/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</w:pPr>
      <w:r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  <w:t>赛务工作联系人：赵老师，胡老师</w:t>
      </w:r>
    </w:p>
    <w:p w14:paraId="6FF824A1">
      <w:pPr>
        <w:spacing w:line="600" w:lineRule="exact"/>
        <w:ind w:firstLine="640" w:firstLineChars="200"/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</w:pPr>
      <w:r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  <w:t>联系电话：88981186，87951470</w:t>
      </w:r>
    </w:p>
    <w:p w14:paraId="437317D4">
      <w:pPr>
        <w:spacing w:line="600" w:lineRule="exact"/>
        <w:ind w:firstLine="640" w:firstLineChars="200"/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</w:pPr>
      <w:r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  <w:t>邮箱地址：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"mailto:jsfz@zju.edu.cn" \h </w:instrText>
      </w:r>
      <w:r>
        <w:rPr>
          <w:color w:val="auto"/>
        </w:rPr>
        <w:fldChar w:fldCharType="separate"/>
      </w:r>
      <w:r>
        <w:rPr>
          <w:rStyle w:val="9"/>
          <w:rFonts w:ascii="Times New Roman Regular" w:hAnsi="Times New Roman Regular" w:eastAsia="仿宋_GB2312" w:cs="Times New Roman Regular"/>
          <w:color w:val="auto"/>
          <w:sz w:val="32"/>
          <w:szCs w:val="32"/>
        </w:rPr>
        <w:t>jsfz@zju.edu.cn</w:t>
      </w:r>
      <w:r>
        <w:rPr>
          <w:rStyle w:val="9"/>
          <w:rFonts w:ascii="Times New Roman Regular" w:hAnsi="Times New Roman Regular" w:eastAsia="仿宋_GB2312" w:cs="Times New Roman Regular"/>
          <w:color w:val="auto"/>
          <w:sz w:val="32"/>
          <w:szCs w:val="32"/>
        </w:rPr>
        <w:fldChar w:fldCharType="end"/>
      </w:r>
    </w:p>
    <w:p w14:paraId="525E9D4A">
      <w:pPr>
        <w:spacing w:line="600" w:lineRule="exact"/>
        <w:ind w:firstLine="600" w:firstLineChars="200"/>
        <w:rPr>
          <w:rFonts w:ascii="仿宋_GB2312" w:eastAsia="仿宋_GB2312"/>
          <w:color w:val="auto"/>
          <w:sz w:val="30"/>
          <w:szCs w:val="30"/>
          <w:highlight w:val="lightGray"/>
        </w:rPr>
      </w:pPr>
    </w:p>
    <w:p w14:paraId="6377CD14">
      <w:pPr>
        <w:spacing w:line="600" w:lineRule="exact"/>
        <w:ind w:firstLine="640"/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</w:pPr>
      <w:bookmarkStart w:id="2" w:name="OLE_LINK2"/>
      <w:r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  <w:t>附件1：202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</w:rPr>
        <w:t>5</w:t>
      </w:r>
      <w:r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  <w:t>年浙江大学青年教师教学竞赛评分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</w:rPr>
        <w:t>指标</w:t>
      </w:r>
      <w:bookmarkEnd w:id="2"/>
      <w:bookmarkStart w:id="3" w:name="OLE_LINK5"/>
    </w:p>
    <w:p w14:paraId="3CFED409">
      <w:pPr>
        <w:spacing w:line="600" w:lineRule="exact"/>
        <w:ind w:firstLine="640"/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</w:pPr>
      <w:r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  <w:t>附件2：</w:t>
      </w:r>
      <w:bookmarkStart w:id="4" w:name="OLE_LINK4"/>
      <w:r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  <w:t>202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</w:rPr>
        <w:t>5</w:t>
      </w:r>
      <w:r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  <w:t>年浙江大学青年教师教学竞赛决赛参赛教师汇总表</w:t>
      </w:r>
    </w:p>
    <w:p w14:paraId="2306BCC8">
      <w:pPr>
        <w:spacing w:line="600" w:lineRule="exact"/>
        <w:ind w:firstLine="640"/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</w:pPr>
      <w:r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  <w:t>附件3：202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</w:rPr>
        <w:t>5</w:t>
      </w:r>
      <w:r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  <w:t>年浙江大学青年教师教学竞赛参赛教师申报表</w:t>
      </w:r>
    </w:p>
    <w:p w14:paraId="2E724C53">
      <w:pPr>
        <w:spacing w:line="600" w:lineRule="exact"/>
        <w:ind w:firstLine="640"/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</w:pPr>
      <w:r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  <w:t>附件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</w:rPr>
        <w:t>4</w:t>
      </w:r>
      <w:r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  <w:t>：关于开展浙江省第十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</w:rPr>
        <w:t>四</w:t>
      </w:r>
      <w:r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  <w:t>届高校青年教师教学竞赛的通知</w:t>
      </w:r>
    </w:p>
    <w:p w14:paraId="6C67AB95">
      <w:pPr>
        <w:spacing w:line="600" w:lineRule="exact"/>
        <w:ind w:firstLine="640"/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</w:pPr>
      <w:r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  <w:t>附件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</w:rPr>
        <w:t>5</w:t>
      </w:r>
      <w:r>
        <w:rPr>
          <w:rFonts w:ascii="Times New Roman Regular" w:hAnsi="Times New Roman Regular" w:eastAsia="仿宋_GB2312" w:cs="Times New Roman Regular"/>
          <w:color w:val="auto"/>
          <w:sz w:val="32"/>
          <w:szCs w:val="32"/>
        </w:rPr>
        <w:t>：浙江大学印发《浙江大学青年教师教学竞赛实施办法》的通知</w:t>
      </w:r>
    </w:p>
    <w:bookmarkEnd w:id="3"/>
    <w:bookmarkEnd w:id="4"/>
    <w:p w14:paraId="305C3438">
      <w:pPr>
        <w:spacing w:line="600" w:lineRule="exact"/>
        <w:rPr>
          <w:rFonts w:ascii="Times New Roman Regular" w:hAnsi="Times New Roman Regular" w:eastAsia="仿宋_GB2312" w:cs="Times New Roman Regular"/>
          <w:color w:val="auto"/>
          <w:sz w:val="32"/>
          <w:szCs w:val="32"/>
          <w:highlight w:val="lightGray"/>
        </w:rPr>
      </w:pPr>
    </w:p>
    <w:p w14:paraId="092B00BD">
      <w:pPr>
        <w:spacing w:line="600" w:lineRule="exact"/>
        <w:jc w:val="right"/>
        <w:rPr>
          <w:rFonts w:ascii="Times New Roman Regular" w:hAnsi="Times New Roman Regular" w:eastAsia="仿宋_GB2312" w:cs="Times New Roman Regular"/>
          <w:bCs/>
          <w:color w:val="auto"/>
          <w:sz w:val="32"/>
          <w:szCs w:val="32"/>
        </w:rPr>
      </w:pPr>
      <w:r>
        <w:rPr>
          <w:rFonts w:ascii="Times New Roman Regular" w:hAnsi="Times New Roman Regular" w:eastAsia="仿宋_GB2312" w:cs="Times New Roman Regular"/>
          <w:bCs/>
          <w:color w:val="auto"/>
          <w:sz w:val="32"/>
          <w:szCs w:val="32"/>
        </w:rPr>
        <w:t>本科生院教学研究处</w:t>
      </w:r>
    </w:p>
    <w:p w14:paraId="11B479D2">
      <w:pPr>
        <w:spacing w:line="600" w:lineRule="exact"/>
        <w:jc w:val="right"/>
        <w:rPr>
          <w:rFonts w:ascii="Times New Roman Regular" w:hAnsi="Times New Roman Regular" w:eastAsia="仿宋_GB2312" w:cs="Times New Roman Regular"/>
          <w:bCs/>
          <w:color w:val="auto"/>
          <w:sz w:val="32"/>
          <w:szCs w:val="32"/>
        </w:rPr>
      </w:pPr>
      <w:r>
        <w:rPr>
          <w:rFonts w:ascii="Times New Roman Regular" w:hAnsi="Times New Roman Regular" w:eastAsia="仿宋_GB2312" w:cs="Times New Roman Regular"/>
          <w:bCs/>
          <w:color w:val="auto"/>
          <w:sz w:val="32"/>
          <w:szCs w:val="32"/>
        </w:rPr>
        <w:t>校工会</w:t>
      </w:r>
    </w:p>
    <w:p w14:paraId="153DEC74">
      <w:pPr>
        <w:spacing w:line="600" w:lineRule="exact"/>
        <w:ind w:firstLine="640"/>
        <w:jc w:val="right"/>
        <w:rPr>
          <w:rFonts w:ascii="Times New Roman Regular" w:hAnsi="Times New Roman Regular" w:eastAsia="仿宋_GB2312" w:cs="Times New Roman Regular"/>
          <w:bCs/>
          <w:color w:val="auto"/>
          <w:sz w:val="32"/>
          <w:szCs w:val="32"/>
        </w:rPr>
      </w:pPr>
      <w:r>
        <w:rPr>
          <w:rFonts w:ascii="Times New Roman Regular" w:hAnsi="Times New Roman Regular" w:eastAsia="仿宋_GB2312" w:cs="Times New Roman Regular"/>
          <w:bCs/>
          <w:color w:val="auto"/>
          <w:sz w:val="32"/>
          <w:szCs w:val="32"/>
        </w:rPr>
        <w:t>202</w:t>
      </w:r>
      <w:r>
        <w:rPr>
          <w:rFonts w:hint="eastAsia" w:ascii="Times New Roman Regular" w:hAnsi="Times New Roman Regular" w:eastAsia="仿宋_GB2312" w:cs="Times New Roman Regular"/>
          <w:bCs/>
          <w:color w:val="auto"/>
          <w:sz w:val="32"/>
          <w:szCs w:val="32"/>
        </w:rPr>
        <w:t>5</w:t>
      </w:r>
      <w:r>
        <w:rPr>
          <w:rFonts w:ascii="Times New Roman Regular" w:hAnsi="Times New Roman Regular" w:eastAsia="仿宋_GB2312" w:cs="Times New Roman Regular"/>
          <w:bCs/>
          <w:color w:val="auto"/>
          <w:sz w:val="32"/>
          <w:szCs w:val="32"/>
        </w:rPr>
        <w:t>年</w:t>
      </w:r>
      <w:r>
        <w:rPr>
          <w:rFonts w:hint="eastAsia" w:ascii="Times New Roman Regular" w:hAnsi="Times New Roman Regular" w:eastAsia="仿宋_GB2312" w:cs="Times New Roman Regular"/>
          <w:bCs/>
          <w:color w:val="auto"/>
          <w:sz w:val="32"/>
          <w:szCs w:val="32"/>
        </w:rPr>
        <w:t>4</w:t>
      </w:r>
      <w:r>
        <w:rPr>
          <w:rFonts w:ascii="Times New Roman Regular" w:hAnsi="Times New Roman Regular" w:eastAsia="仿宋_GB2312" w:cs="Times New Roman Regular"/>
          <w:bCs/>
          <w:color w:val="auto"/>
          <w:sz w:val="32"/>
          <w:szCs w:val="32"/>
        </w:rPr>
        <w:t>月</w:t>
      </w:r>
      <w:r>
        <w:rPr>
          <w:rFonts w:hint="eastAsia" w:ascii="Times New Roman Regular" w:hAnsi="Times New Roman Regular" w:eastAsia="仿宋_GB2312" w:cs="Times New Roman Regular"/>
          <w:bCs/>
          <w:color w:val="auto"/>
          <w:sz w:val="32"/>
          <w:szCs w:val="32"/>
        </w:rPr>
        <w:t>1</w:t>
      </w:r>
      <w:r>
        <w:rPr>
          <w:rFonts w:ascii="Times New Roman Regular" w:hAnsi="Times New Roman Regular" w:eastAsia="仿宋_GB2312" w:cs="Times New Roman Regular"/>
          <w:bCs/>
          <w:color w:val="auto"/>
          <w:sz w:val="32"/>
          <w:szCs w:val="32"/>
        </w:rPr>
        <w:t>6日</w:t>
      </w:r>
    </w:p>
    <w:p w14:paraId="1941E642">
      <w:pPr>
        <w:spacing w:line="600" w:lineRule="exact"/>
        <w:rPr>
          <w:rFonts w:ascii="Times New Roman Regular" w:hAnsi="Times New Roman Regular" w:cs="Times New Roman Regular"/>
          <w:color w:val="auto"/>
          <w:sz w:val="32"/>
          <w:szCs w:val="32"/>
          <w:highlight w:val="lightGray"/>
        </w:rPr>
      </w:pPr>
    </w:p>
    <w:bookmarkEnd w:id="5"/>
    <w:sectPr>
      <w:pgSz w:w="11906" w:h="16838"/>
      <w:pgMar w:top="1440" w:right="1800" w:bottom="1440" w:left="1800" w:header="0" w:footer="0" w:gutter="0"/>
      <w:cols w:space="720" w:num="1"/>
      <w:formProt w:val="0"/>
      <w:docGrid w:type="lines" w:linePitch="312" w:charSpace="4300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90C7DF8-E087-4089-8031-76EB84368DD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EA8B8D78-117B-43A9-B868-E1843A19A270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E55C446B-7F03-47DA-B0A1-AE5396ED6AC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41537109-D2E5-4040-84E8-9349C61D6F6F}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1" w:usb3="00000000" w:csb0="400001BF" w:csb1="DFF70000"/>
    <w:embedRegular r:id="rId5" w:fontKey="{05B6EB9F-6323-473B-A1BC-D0068A25545C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B3808152-307B-4B7B-9F9B-E64CE9EDD497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F8D064"/>
    <w:multiLevelType w:val="singleLevel"/>
    <w:tmpl w:val="BCF8D064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F642315A"/>
    <w:multiLevelType w:val="singleLevel"/>
    <w:tmpl w:val="F642315A"/>
    <w:lvl w:ilvl="0" w:tentative="0">
      <w:start w:val="3"/>
      <w:numFmt w:val="decimal"/>
      <w:suff w:val="space"/>
      <w:lvlText w:val="%1."/>
      <w:lvlJc w:val="left"/>
    </w:lvl>
  </w:abstractNum>
  <w:abstractNum w:abstractNumId="2">
    <w:nsid w:val="40738994"/>
    <w:multiLevelType w:val="singleLevel"/>
    <w:tmpl w:val="40738994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IzOGE0YzEzOGE3ZGYzZWViMWFmNzE2NTk4YWQ0OTIifQ=="/>
  </w:docVars>
  <w:rsids>
    <w:rsidRoot w:val="1CC62E9D"/>
    <w:rsid w:val="000C56EE"/>
    <w:rsid w:val="000E1653"/>
    <w:rsid w:val="000E24DF"/>
    <w:rsid w:val="00125045"/>
    <w:rsid w:val="00221E19"/>
    <w:rsid w:val="002A15B6"/>
    <w:rsid w:val="002B2896"/>
    <w:rsid w:val="00341382"/>
    <w:rsid w:val="00371B37"/>
    <w:rsid w:val="00373627"/>
    <w:rsid w:val="003A5ED9"/>
    <w:rsid w:val="003D7729"/>
    <w:rsid w:val="00441FD3"/>
    <w:rsid w:val="00443B76"/>
    <w:rsid w:val="00502BD8"/>
    <w:rsid w:val="005F79D8"/>
    <w:rsid w:val="00604381"/>
    <w:rsid w:val="00645791"/>
    <w:rsid w:val="006835EB"/>
    <w:rsid w:val="006D5A12"/>
    <w:rsid w:val="006E45B3"/>
    <w:rsid w:val="00771B67"/>
    <w:rsid w:val="00823AD2"/>
    <w:rsid w:val="00885106"/>
    <w:rsid w:val="008B3743"/>
    <w:rsid w:val="00995EEE"/>
    <w:rsid w:val="009D4066"/>
    <w:rsid w:val="00A20187"/>
    <w:rsid w:val="00A34D5A"/>
    <w:rsid w:val="00AA510C"/>
    <w:rsid w:val="00BD6357"/>
    <w:rsid w:val="00CB0E73"/>
    <w:rsid w:val="00D729B2"/>
    <w:rsid w:val="00D86924"/>
    <w:rsid w:val="00F22A50"/>
    <w:rsid w:val="00F27998"/>
    <w:rsid w:val="00F36B98"/>
    <w:rsid w:val="00F43B6B"/>
    <w:rsid w:val="01DC5FDF"/>
    <w:rsid w:val="03990047"/>
    <w:rsid w:val="03E5503B"/>
    <w:rsid w:val="052B1173"/>
    <w:rsid w:val="05813DFD"/>
    <w:rsid w:val="05E03D0C"/>
    <w:rsid w:val="06223BC9"/>
    <w:rsid w:val="06AB256C"/>
    <w:rsid w:val="07A64AE1"/>
    <w:rsid w:val="086E58DD"/>
    <w:rsid w:val="08A07782"/>
    <w:rsid w:val="0A157CFC"/>
    <w:rsid w:val="0A1F4834"/>
    <w:rsid w:val="0A747118"/>
    <w:rsid w:val="0A852B6D"/>
    <w:rsid w:val="0ADE2444"/>
    <w:rsid w:val="0BC17678"/>
    <w:rsid w:val="0BD41C48"/>
    <w:rsid w:val="0C657437"/>
    <w:rsid w:val="0EF37B39"/>
    <w:rsid w:val="0F4E6B4A"/>
    <w:rsid w:val="0FED3390"/>
    <w:rsid w:val="120B7AD9"/>
    <w:rsid w:val="121E0096"/>
    <w:rsid w:val="123D1751"/>
    <w:rsid w:val="14724102"/>
    <w:rsid w:val="16860798"/>
    <w:rsid w:val="17DC578F"/>
    <w:rsid w:val="182E295B"/>
    <w:rsid w:val="18627605"/>
    <w:rsid w:val="187542C1"/>
    <w:rsid w:val="1908398F"/>
    <w:rsid w:val="1911450B"/>
    <w:rsid w:val="19B81894"/>
    <w:rsid w:val="1ADF0A79"/>
    <w:rsid w:val="1C393D1E"/>
    <w:rsid w:val="1C7D00AF"/>
    <w:rsid w:val="1CC62E9D"/>
    <w:rsid w:val="1DBC0763"/>
    <w:rsid w:val="1DE822F8"/>
    <w:rsid w:val="1EC164CA"/>
    <w:rsid w:val="208F215E"/>
    <w:rsid w:val="24E0567E"/>
    <w:rsid w:val="25042435"/>
    <w:rsid w:val="27452D6D"/>
    <w:rsid w:val="275C5744"/>
    <w:rsid w:val="282E102A"/>
    <w:rsid w:val="28F67337"/>
    <w:rsid w:val="29EF13F1"/>
    <w:rsid w:val="2A7B76E8"/>
    <w:rsid w:val="2AC11AAE"/>
    <w:rsid w:val="2B801021"/>
    <w:rsid w:val="2CD843BB"/>
    <w:rsid w:val="2CF9552F"/>
    <w:rsid w:val="2DD61D57"/>
    <w:rsid w:val="2E183793"/>
    <w:rsid w:val="2EC42AC5"/>
    <w:rsid w:val="2FE75B13"/>
    <w:rsid w:val="30862DD2"/>
    <w:rsid w:val="312B32C2"/>
    <w:rsid w:val="318D6246"/>
    <w:rsid w:val="31E3230A"/>
    <w:rsid w:val="3425595B"/>
    <w:rsid w:val="359229B6"/>
    <w:rsid w:val="3609470E"/>
    <w:rsid w:val="37F767AF"/>
    <w:rsid w:val="38417D8A"/>
    <w:rsid w:val="388E46AF"/>
    <w:rsid w:val="3BE20E0D"/>
    <w:rsid w:val="3C047A4D"/>
    <w:rsid w:val="3CA055CA"/>
    <w:rsid w:val="3D9B15F5"/>
    <w:rsid w:val="3EAB2669"/>
    <w:rsid w:val="3F9B086D"/>
    <w:rsid w:val="3FF92C11"/>
    <w:rsid w:val="401C2BF3"/>
    <w:rsid w:val="417B255F"/>
    <w:rsid w:val="42B3220B"/>
    <w:rsid w:val="43FF9F06"/>
    <w:rsid w:val="44C11E20"/>
    <w:rsid w:val="44EE3FDE"/>
    <w:rsid w:val="45E671C4"/>
    <w:rsid w:val="45F23E0E"/>
    <w:rsid w:val="461D6CD9"/>
    <w:rsid w:val="46291A30"/>
    <w:rsid w:val="466E0E03"/>
    <w:rsid w:val="48581C0D"/>
    <w:rsid w:val="488066AD"/>
    <w:rsid w:val="49223EB0"/>
    <w:rsid w:val="49821A19"/>
    <w:rsid w:val="4BC30D8B"/>
    <w:rsid w:val="4BD9235C"/>
    <w:rsid w:val="4BEC77C6"/>
    <w:rsid w:val="4C5145E8"/>
    <w:rsid w:val="4CEC2563"/>
    <w:rsid w:val="4D2B28EB"/>
    <w:rsid w:val="4DF85857"/>
    <w:rsid w:val="4E0B1B16"/>
    <w:rsid w:val="4F0969D3"/>
    <w:rsid w:val="4F7D3356"/>
    <w:rsid w:val="53057536"/>
    <w:rsid w:val="53E53B98"/>
    <w:rsid w:val="53FD2755"/>
    <w:rsid w:val="54984970"/>
    <w:rsid w:val="552705DC"/>
    <w:rsid w:val="55AA3D2A"/>
    <w:rsid w:val="58A37CF6"/>
    <w:rsid w:val="58EB701F"/>
    <w:rsid w:val="5909022C"/>
    <w:rsid w:val="5BBB3D62"/>
    <w:rsid w:val="5D2A0B6F"/>
    <w:rsid w:val="5D90437C"/>
    <w:rsid w:val="5E2A4C99"/>
    <w:rsid w:val="5F003B23"/>
    <w:rsid w:val="5F5A7F88"/>
    <w:rsid w:val="5FBF88B4"/>
    <w:rsid w:val="62913F79"/>
    <w:rsid w:val="632A1EC7"/>
    <w:rsid w:val="63CA39B7"/>
    <w:rsid w:val="65C5624B"/>
    <w:rsid w:val="670D3C67"/>
    <w:rsid w:val="6712022A"/>
    <w:rsid w:val="68C57439"/>
    <w:rsid w:val="69450BD9"/>
    <w:rsid w:val="6A4D4D3B"/>
    <w:rsid w:val="6CA04615"/>
    <w:rsid w:val="6CD72490"/>
    <w:rsid w:val="6D685428"/>
    <w:rsid w:val="6DA2484C"/>
    <w:rsid w:val="6F7F185B"/>
    <w:rsid w:val="6FED415E"/>
    <w:rsid w:val="70A67CFD"/>
    <w:rsid w:val="70FE1057"/>
    <w:rsid w:val="71044AD3"/>
    <w:rsid w:val="72CC236B"/>
    <w:rsid w:val="72F678C2"/>
    <w:rsid w:val="73571C35"/>
    <w:rsid w:val="73607D61"/>
    <w:rsid w:val="760D37EC"/>
    <w:rsid w:val="76217078"/>
    <w:rsid w:val="775C443F"/>
    <w:rsid w:val="780649BD"/>
    <w:rsid w:val="793457F7"/>
    <w:rsid w:val="7C962567"/>
    <w:rsid w:val="7D2F7437"/>
    <w:rsid w:val="7DD81465"/>
    <w:rsid w:val="7F7867BF"/>
    <w:rsid w:val="F7ED323E"/>
    <w:rsid w:val="FFD9F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autoRedefine/>
    <w:qFormat/>
    <w:uiPriority w:val="0"/>
    <w:pPr>
      <w:jc w:val="left"/>
    </w:p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annotation subject"/>
    <w:basedOn w:val="2"/>
    <w:next w:val="2"/>
    <w:link w:val="12"/>
    <w:qFormat/>
    <w:uiPriority w:val="0"/>
    <w:rPr>
      <w:b/>
      <w:bCs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styleId="8">
    <w:name w:val="annotation reference"/>
    <w:basedOn w:val="6"/>
    <w:qFormat/>
    <w:uiPriority w:val="0"/>
    <w:rPr>
      <w:sz w:val="21"/>
      <w:szCs w:val="21"/>
    </w:rPr>
  </w:style>
  <w:style w:type="character" w:customStyle="1" w:styleId="9">
    <w:name w:val="Internet 链接"/>
    <w:basedOn w:val="6"/>
    <w:autoRedefine/>
    <w:unhideWhenUsed/>
    <w:qFormat/>
    <w:uiPriority w:val="99"/>
    <w:rPr>
      <w:color w:val="0000FF"/>
      <w:u w:val="single"/>
    </w:rPr>
  </w:style>
  <w:style w:type="character" w:customStyle="1" w:styleId="10">
    <w:name w:val="批注框文本 字符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批注文字 字符"/>
    <w:basedOn w:val="6"/>
    <w:link w:val="2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批注主题 字符"/>
    <w:basedOn w:val="11"/>
    <w:link w:val="4"/>
    <w:qFormat/>
    <w:uiPriority w:val="0"/>
    <w:rPr>
      <w:rFonts w:ascii="Calibri" w:hAnsi="Calibri" w:eastAsia="宋体" w:cs="Times New Roman"/>
      <w:b/>
      <w:bCs/>
      <w:kern w:val="2"/>
      <w:sz w:val="21"/>
      <w:szCs w:val="22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2495</Words>
  <Characters>2712</Characters>
  <Lines>20</Lines>
  <Paragraphs>5</Paragraphs>
  <TotalTime>4</TotalTime>
  <ScaleCrop>false</ScaleCrop>
  <LinksUpToDate>false</LinksUpToDate>
  <CharactersWithSpaces>2725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2025-04-16T08:31:00Z</dcterms:created>
  <dc:creator>眷顾</dc:creator>
  <cp:lastModifiedBy>陈晓</cp:lastModifiedBy>
  <dcterms:modified xsi:type="dcterms:W3CDTF">2025-04-16T08:43:27Z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A13518E2EABF48FFBA06AB7BB3452B63_13</vt:lpwstr>
  </property>
  <property fmtid="{D5CDD505-2E9C-101B-9397-08002B2CF9AE}" pid="4" name="KSOTemplateDocerSaveRecord">
    <vt:lpwstr>eyJoZGlkIjoiMDIzOGE0YzEzOGE3ZGYzZWViMWFmNzE2NTk4YWQ0OTIiLCJ1c2VySWQiOiIxNjM5NjA0MTUzIn0=</vt:lpwstr>
  </property>
</Properties>
</file>