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EDFE" w14:textId="085105E4" w:rsidR="00FE35C2" w:rsidRPr="00FE35C2" w:rsidRDefault="00FE35C2" w:rsidP="00FE35C2">
      <w:pPr>
        <w:widowControl/>
        <w:pBdr>
          <w:bottom w:val="single" w:sz="6" w:space="8" w:color="ECECEC"/>
        </w:pBdr>
        <w:shd w:val="clear" w:color="auto" w:fill="FFFFFF"/>
        <w:spacing w:line="390" w:lineRule="atLeast"/>
        <w:jc w:val="center"/>
        <w:outlineLvl w:val="0"/>
        <w:rPr>
          <w:rFonts w:ascii="微软雅黑" w:eastAsia="微软雅黑" w:hAnsi="微软雅黑" w:cs="宋体" w:hint="eastAsia"/>
          <w:b/>
          <w:bCs/>
          <w:color w:val="002D71"/>
          <w:kern w:val="36"/>
          <w:sz w:val="33"/>
          <w:szCs w:val="33"/>
        </w:rPr>
      </w:pPr>
      <w:r w:rsidRPr="00FE35C2">
        <w:rPr>
          <w:rFonts w:ascii="微软雅黑" w:eastAsia="微软雅黑" w:hAnsi="微软雅黑" w:cs="宋体" w:hint="eastAsia"/>
          <w:b/>
          <w:bCs/>
          <w:color w:val="002D71"/>
          <w:kern w:val="36"/>
          <w:sz w:val="33"/>
          <w:szCs w:val="33"/>
        </w:rPr>
        <w:t>浙江大学建筑工程学院研究生学位申请实施细则（试行）</w:t>
      </w:r>
    </w:p>
    <w:p w14:paraId="234011BA" w14:textId="789F0A09" w:rsidR="00FE35C2" w:rsidRPr="00FE35C2" w:rsidRDefault="00FE35C2" w:rsidP="00FE35C2">
      <w:pPr>
        <w:widowControl/>
        <w:shd w:val="clear" w:color="auto" w:fill="FFFFFF"/>
        <w:spacing w:after="150" w:line="390" w:lineRule="atLeast"/>
        <w:ind w:firstLineChars="200" w:firstLine="48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根据《中华人民共和国学位条例》、《中华人民共和国学位条例暂行实施办法》、《浙江大学研究生学位申请实施办法（试行）》（浙大发</w:t>
      </w:r>
      <w:proofErr w:type="gramStart"/>
      <w:r w:rsidRPr="00FE35C2">
        <w:rPr>
          <w:rFonts w:ascii="宋体" w:eastAsia="宋体" w:hAnsi="宋体" w:cs="Arial" w:hint="eastAsia"/>
          <w:color w:val="333333"/>
          <w:kern w:val="0"/>
          <w:sz w:val="24"/>
          <w:szCs w:val="24"/>
        </w:rPr>
        <w:t>研</w:t>
      </w:r>
      <w:proofErr w:type="gramEnd"/>
      <w:r w:rsidRPr="00FE35C2">
        <w:rPr>
          <w:rFonts w:ascii="宋体" w:eastAsia="宋体" w:hAnsi="宋体" w:cs="Arial" w:hint="eastAsia"/>
          <w:color w:val="333333"/>
          <w:kern w:val="0"/>
          <w:sz w:val="24"/>
          <w:szCs w:val="24"/>
        </w:rPr>
        <w:t>〔</w:t>
      </w:r>
      <w:r w:rsidRPr="00FE35C2">
        <w:rPr>
          <w:rFonts w:ascii="Calibri" w:eastAsia="宋体" w:hAnsi="Calibri" w:cs="Calibri"/>
          <w:color w:val="333333"/>
          <w:kern w:val="0"/>
          <w:sz w:val="24"/>
          <w:szCs w:val="24"/>
        </w:rPr>
        <w:t>2020</w:t>
      </w:r>
      <w:r w:rsidRPr="00FE35C2">
        <w:rPr>
          <w:rFonts w:ascii="宋体" w:eastAsia="宋体" w:hAnsi="宋体" w:cs="Arial" w:hint="eastAsia"/>
          <w:color w:val="333333"/>
          <w:kern w:val="0"/>
          <w:sz w:val="24"/>
          <w:szCs w:val="24"/>
        </w:rPr>
        <w:t>〕</w:t>
      </w:r>
      <w:r w:rsidRPr="00FE35C2">
        <w:rPr>
          <w:rFonts w:ascii="Calibri" w:eastAsia="宋体" w:hAnsi="Calibri" w:cs="Calibri"/>
          <w:color w:val="333333"/>
          <w:kern w:val="0"/>
          <w:sz w:val="24"/>
          <w:szCs w:val="24"/>
        </w:rPr>
        <w:t>45</w:t>
      </w:r>
      <w:r w:rsidRPr="00FE35C2">
        <w:rPr>
          <w:rFonts w:ascii="宋体" w:eastAsia="宋体" w:hAnsi="宋体" w:cs="Arial" w:hint="eastAsia"/>
          <w:color w:val="333333"/>
          <w:kern w:val="0"/>
          <w:sz w:val="24"/>
          <w:szCs w:val="24"/>
        </w:rPr>
        <w:t>号）文件和《浙江大学工程类专业学位研究生学位申请实施细则（试行）》（浙大</w:t>
      </w:r>
      <w:proofErr w:type="gramStart"/>
      <w:r w:rsidRPr="00FE35C2">
        <w:rPr>
          <w:rFonts w:ascii="宋体" w:eastAsia="宋体" w:hAnsi="宋体" w:cs="Arial" w:hint="eastAsia"/>
          <w:color w:val="333333"/>
          <w:kern w:val="0"/>
          <w:sz w:val="24"/>
          <w:szCs w:val="24"/>
        </w:rPr>
        <w:t>研</w:t>
      </w:r>
      <w:proofErr w:type="gramEnd"/>
      <w:r w:rsidRPr="00FE35C2">
        <w:rPr>
          <w:rFonts w:ascii="宋体" w:eastAsia="宋体" w:hAnsi="宋体" w:cs="Arial" w:hint="eastAsia"/>
          <w:color w:val="333333"/>
          <w:kern w:val="0"/>
          <w:sz w:val="24"/>
          <w:szCs w:val="24"/>
        </w:rPr>
        <w:t>院发〔2021〕32号）文件（以下简称“学校相关文件”），结合我院实际制定本实施细则。攻读学位的研究生在规定修业年限内，完成培养计划要求的各个培养环节、成绩合格，且在学期间所获得的创新成果达到所在学科、大类和学部制定的要求，均应按本实施细则进行学位论文答辩和办理学位申请。</w:t>
      </w:r>
    </w:p>
    <w:p w14:paraId="6BF4C823" w14:textId="77777777" w:rsidR="00FE35C2" w:rsidRPr="00FE35C2" w:rsidRDefault="00FE35C2" w:rsidP="00FE35C2">
      <w:pPr>
        <w:widowControl/>
        <w:shd w:val="clear" w:color="auto" w:fill="FFFFFF"/>
        <w:spacing w:after="15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第一章 创新成果标准</w:t>
      </w:r>
    </w:p>
    <w:p w14:paraId="28AED011" w14:textId="36F88F52"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第一条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学位论文是进行研究生学位评定的主要依据。若博士研究生学位论文双向隐名评阅总体等级评价全部为“A(优秀)”或“B(良好)”，</w:t>
      </w:r>
      <w:proofErr w:type="gramStart"/>
      <w:r w:rsidRPr="00FE35C2">
        <w:rPr>
          <w:rFonts w:ascii="宋体" w:eastAsia="宋体" w:hAnsi="宋体" w:cs="Arial" w:hint="eastAsia"/>
          <w:color w:val="333333"/>
          <w:kern w:val="0"/>
          <w:sz w:val="24"/>
          <w:szCs w:val="24"/>
        </w:rPr>
        <w:t>且评价</w:t>
      </w:r>
      <w:proofErr w:type="gramEnd"/>
      <w:r w:rsidRPr="00FE35C2">
        <w:rPr>
          <w:rFonts w:ascii="宋体" w:eastAsia="宋体" w:hAnsi="宋体" w:cs="Arial" w:hint="eastAsia"/>
          <w:color w:val="333333"/>
          <w:kern w:val="0"/>
          <w:sz w:val="24"/>
          <w:szCs w:val="24"/>
        </w:rPr>
        <w:t>为“B(良好)”的不超过1个、评阅意见全部为“同意答辩”，或者硕士研究生学位论文双向隐名评阅总体等级评价全部为</w:t>
      </w:r>
      <w:proofErr w:type="gramStart"/>
      <w:r w:rsidRPr="00FE35C2">
        <w:rPr>
          <w:rFonts w:ascii="宋体" w:eastAsia="宋体" w:hAnsi="宋体" w:cs="Arial" w:hint="eastAsia"/>
          <w:color w:val="333333"/>
          <w:kern w:val="0"/>
          <w:sz w:val="24"/>
          <w:szCs w:val="24"/>
        </w:rPr>
        <w:t>“</w:t>
      </w:r>
      <w:proofErr w:type="gramEnd"/>
      <w:r w:rsidRPr="00FE35C2">
        <w:rPr>
          <w:rFonts w:ascii="宋体" w:eastAsia="宋体" w:hAnsi="宋体" w:cs="Arial" w:hint="eastAsia"/>
          <w:color w:val="333333"/>
          <w:kern w:val="0"/>
          <w:sz w:val="24"/>
          <w:szCs w:val="24"/>
        </w:rPr>
        <w:t>A(优秀)、评阅意见全部为“同意答辩”，在其论文答辩通过后可直接提出毕业申请与学位申请。若论文评阅总体等级评价未达上述标准，用于申请硕士学位、博士学位的创新成果，除满足学校相关文件要求以外，还须满足学院各学科或大类制定的相应研究生申请学位创新成果标准。</w:t>
      </w:r>
    </w:p>
    <w:p w14:paraId="5570DEA3" w14:textId="673D7C0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第二条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各学科或大类应结合所属学科或大类特点和研究生培养目标要求，制定相应的研究生申请学位创新成果标准；创新成果标准应体现原创性、前沿性和应用性，并对学术学位研究生和专业学位研究生的创新成果标准予以区别。</w:t>
      </w:r>
    </w:p>
    <w:p w14:paraId="6619F179" w14:textId="537A797D"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第三条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各学科或大类的研究生申请学位创新成果标准需报学院学科学位评定委员会或所在大类专业学位研究生教育指导委员会审议，审议通过后</w:t>
      </w:r>
      <w:proofErr w:type="gramStart"/>
      <w:r w:rsidRPr="00FE35C2">
        <w:rPr>
          <w:rFonts w:ascii="宋体" w:eastAsia="宋体" w:hAnsi="宋体" w:cs="Arial" w:hint="eastAsia"/>
          <w:color w:val="333333"/>
          <w:kern w:val="0"/>
          <w:sz w:val="24"/>
          <w:szCs w:val="24"/>
        </w:rPr>
        <w:t>应当报工学部</w:t>
      </w:r>
      <w:proofErr w:type="gramEnd"/>
      <w:r w:rsidRPr="00FE35C2">
        <w:rPr>
          <w:rFonts w:ascii="宋体" w:eastAsia="宋体" w:hAnsi="宋体" w:cs="Arial" w:hint="eastAsia"/>
          <w:color w:val="333333"/>
          <w:kern w:val="0"/>
          <w:sz w:val="24"/>
          <w:szCs w:val="24"/>
        </w:rPr>
        <w:t>学位评定委员会或工程类专业学位评定委员会核准，自核准之日起下一级秋季新入学研究生开始执行。</w:t>
      </w:r>
    </w:p>
    <w:p w14:paraId="0C519C22" w14:textId="77777777" w:rsidR="00FE35C2" w:rsidRPr="00FE35C2" w:rsidRDefault="00FE35C2" w:rsidP="00FE35C2">
      <w:pPr>
        <w:widowControl/>
        <w:shd w:val="clear" w:color="auto" w:fill="FFFFFF"/>
        <w:spacing w:after="15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lastRenderedPageBreak/>
        <w:t>第二章 学位论文审核</w:t>
      </w:r>
    </w:p>
    <w:p w14:paraId="31DF6A6B" w14:textId="2D1EA900"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第四条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研究生申请学位论文送审前，应按学校相关文件要求和建工学院过程管理相关规定完成学位论文过程管理环节，导师和学院根据学校相关文件要求完成论文送审前各项审核工作。</w:t>
      </w:r>
    </w:p>
    <w:p w14:paraId="630248D6" w14:textId="44DEC0D4"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第五条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除涉密学位论文外，所有学位论文在评阅前，均须参加学位论文相似度检测。具体规定如下：</w:t>
      </w:r>
    </w:p>
    <w:p w14:paraId="69B11BE5"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（一）研究生需根据研究生院</w:t>
      </w:r>
      <w:proofErr w:type="gramStart"/>
      <w:r w:rsidRPr="00FE35C2">
        <w:rPr>
          <w:rFonts w:ascii="宋体" w:eastAsia="宋体" w:hAnsi="宋体" w:cs="Arial" w:hint="eastAsia"/>
          <w:color w:val="333333"/>
          <w:kern w:val="0"/>
          <w:sz w:val="24"/>
          <w:szCs w:val="24"/>
        </w:rPr>
        <w:t>管理系统查重报告</w:t>
      </w:r>
      <w:proofErr w:type="gramEnd"/>
      <w:r w:rsidRPr="00FE35C2">
        <w:rPr>
          <w:rFonts w:ascii="宋体" w:eastAsia="宋体" w:hAnsi="宋体" w:cs="Arial" w:hint="eastAsia"/>
          <w:color w:val="333333"/>
          <w:kern w:val="0"/>
          <w:sz w:val="24"/>
          <w:szCs w:val="24"/>
        </w:rPr>
        <w:t>，对重复部分一一</w:t>
      </w:r>
      <w:proofErr w:type="gramStart"/>
      <w:r w:rsidRPr="00FE35C2">
        <w:rPr>
          <w:rFonts w:ascii="宋体" w:eastAsia="宋体" w:hAnsi="宋体" w:cs="Arial" w:hint="eastAsia"/>
          <w:color w:val="333333"/>
          <w:kern w:val="0"/>
          <w:sz w:val="24"/>
          <w:szCs w:val="24"/>
        </w:rPr>
        <w:t>作出</w:t>
      </w:r>
      <w:proofErr w:type="gramEnd"/>
      <w:r w:rsidRPr="00FE35C2">
        <w:rPr>
          <w:rFonts w:ascii="宋体" w:eastAsia="宋体" w:hAnsi="宋体" w:cs="Arial" w:hint="eastAsia"/>
          <w:color w:val="333333"/>
          <w:kern w:val="0"/>
          <w:sz w:val="24"/>
          <w:szCs w:val="24"/>
        </w:rPr>
        <w:t>修改或说明，填写《浙江大学建工学院博士/硕士学位论文查重修改说明》，导师针对是否符合学术规范进行签字确认，研究生在申请送审评阅时上交纸质</w:t>
      </w:r>
      <w:proofErr w:type="gramStart"/>
      <w:r w:rsidRPr="00FE35C2">
        <w:rPr>
          <w:rFonts w:ascii="宋体" w:eastAsia="宋体" w:hAnsi="宋体" w:cs="Arial" w:hint="eastAsia"/>
          <w:color w:val="333333"/>
          <w:kern w:val="0"/>
          <w:sz w:val="24"/>
          <w:szCs w:val="24"/>
        </w:rPr>
        <w:t>版查重修改</w:t>
      </w:r>
      <w:proofErr w:type="gramEnd"/>
      <w:r w:rsidRPr="00FE35C2">
        <w:rPr>
          <w:rFonts w:ascii="宋体" w:eastAsia="宋体" w:hAnsi="宋体" w:cs="Arial" w:hint="eastAsia"/>
          <w:color w:val="333333"/>
          <w:kern w:val="0"/>
          <w:sz w:val="24"/>
          <w:szCs w:val="24"/>
        </w:rPr>
        <w:t>说明报告。</w:t>
      </w:r>
    </w:p>
    <w:p w14:paraId="4A881E72"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（二）在去除本人文献文字复制比前提下，研究生学位</w:t>
      </w:r>
      <w:proofErr w:type="gramStart"/>
      <w:r w:rsidRPr="00FE35C2">
        <w:rPr>
          <w:rFonts w:ascii="宋体" w:eastAsia="宋体" w:hAnsi="宋体" w:cs="Arial" w:hint="eastAsia"/>
          <w:color w:val="333333"/>
          <w:kern w:val="0"/>
          <w:sz w:val="24"/>
          <w:szCs w:val="24"/>
        </w:rPr>
        <w:t>论文查重率</w:t>
      </w:r>
      <w:proofErr w:type="gramEnd"/>
      <w:r w:rsidRPr="00FE35C2">
        <w:rPr>
          <w:rFonts w:ascii="宋体" w:eastAsia="宋体" w:hAnsi="宋体" w:cs="Arial" w:hint="eastAsia"/>
          <w:color w:val="333333"/>
          <w:kern w:val="0"/>
          <w:sz w:val="24"/>
          <w:szCs w:val="24"/>
        </w:rPr>
        <w:t>需低于15%方可进入送审评阅程序；</w:t>
      </w:r>
      <w:proofErr w:type="gramStart"/>
      <w:r w:rsidRPr="00FE35C2">
        <w:rPr>
          <w:rFonts w:ascii="宋体" w:eastAsia="宋体" w:hAnsi="宋体" w:cs="Arial" w:hint="eastAsia"/>
          <w:color w:val="333333"/>
          <w:kern w:val="0"/>
          <w:sz w:val="24"/>
          <w:szCs w:val="24"/>
        </w:rPr>
        <w:t>若查重率</w:t>
      </w:r>
      <w:proofErr w:type="gramEnd"/>
      <w:r w:rsidRPr="00FE35C2">
        <w:rPr>
          <w:rFonts w:ascii="宋体" w:eastAsia="宋体" w:hAnsi="宋体" w:cs="Arial" w:hint="eastAsia"/>
          <w:color w:val="333333"/>
          <w:kern w:val="0"/>
          <w:sz w:val="24"/>
          <w:szCs w:val="24"/>
        </w:rPr>
        <w:t>超过15%且低于30%，研究生可修改论文后再次申请查重，</w:t>
      </w:r>
      <w:proofErr w:type="gramStart"/>
      <w:r w:rsidRPr="00FE35C2">
        <w:rPr>
          <w:rFonts w:ascii="宋体" w:eastAsia="宋体" w:hAnsi="宋体" w:cs="Arial" w:hint="eastAsia"/>
          <w:color w:val="333333"/>
          <w:kern w:val="0"/>
          <w:sz w:val="24"/>
          <w:szCs w:val="24"/>
        </w:rPr>
        <w:t>查重率</w:t>
      </w:r>
      <w:proofErr w:type="gramEnd"/>
      <w:r w:rsidRPr="00FE35C2">
        <w:rPr>
          <w:rFonts w:ascii="宋体" w:eastAsia="宋体" w:hAnsi="宋体" w:cs="Arial" w:hint="eastAsia"/>
          <w:color w:val="333333"/>
          <w:kern w:val="0"/>
          <w:sz w:val="24"/>
          <w:szCs w:val="24"/>
        </w:rPr>
        <w:t>低于15%后可进入送审评阅环节；</w:t>
      </w:r>
      <w:proofErr w:type="gramStart"/>
      <w:r w:rsidRPr="00FE35C2">
        <w:rPr>
          <w:rFonts w:ascii="宋体" w:eastAsia="宋体" w:hAnsi="宋体" w:cs="Arial" w:hint="eastAsia"/>
          <w:color w:val="333333"/>
          <w:kern w:val="0"/>
          <w:sz w:val="24"/>
          <w:szCs w:val="24"/>
        </w:rPr>
        <w:t>若查重率</w:t>
      </w:r>
      <w:proofErr w:type="gramEnd"/>
      <w:r w:rsidRPr="00FE35C2">
        <w:rPr>
          <w:rFonts w:ascii="宋体" w:eastAsia="宋体" w:hAnsi="宋体" w:cs="Arial" w:hint="eastAsia"/>
          <w:color w:val="333333"/>
          <w:kern w:val="0"/>
          <w:sz w:val="24"/>
          <w:szCs w:val="24"/>
        </w:rPr>
        <w:t>为30%及以上，本季度不可进入送审评阅环节，研究生需认真修改论文后申请此后季度的送审评阅。</w:t>
      </w:r>
    </w:p>
    <w:p w14:paraId="6304D7B9"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（三）对于修改</w:t>
      </w:r>
      <w:proofErr w:type="gramStart"/>
      <w:r w:rsidRPr="00FE35C2">
        <w:rPr>
          <w:rFonts w:ascii="宋体" w:eastAsia="宋体" w:hAnsi="宋体" w:cs="Arial" w:hint="eastAsia"/>
          <w:color w:val="333333"/>
          <w:kern w:val="0"/>
          <w:sz w:val="24"/>
          <w:szCs w:val="24"/>
        </w:rPr>
        <w:t>后查重率</w:t>
      </w:r>
      <w:proofErr w:type="gramEnd"/>
      <w:r w:rsidRPr="00FE35C2">
        <w:rPr>
          <w:rFonts w:ascii="宋体" w:eastAsia="宋体" w:hAnsi="宋体" w:cs="Arial" w:hint="eastAsia"/>
          <w:color w:val="333333"/>
          <w:kern w:val="0"/>
          <w:sz w:val="24"/>
          <w:szCs w:val="24"/>
        </w:rPr>
        <w:t>仍超过15%的学位论文，且导师在《浙江大学建工学院博士/硕士学位论文查重修改说明》中已签字确认符合学术规范的情况，学生和导师可向学院学科学位委员会或所在大类专业学位研究生教育指导委员会提出鉴定申请，学院学科学位委员会或所在大类专业学位研究生教育指导委员会组织专家进行鉴定，在认为不存在学术不端行为的前提下研究生可再提交检测，检测通过者方可进入论文送审评阅程序。</w:t>
      </w:r>
    </w:p>
    <w:p w14:paraId="4BD4CC04"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（四）学位论文相似度检测作为一种辅助性的技术手段，对于防范学位论文不端行为具有一定作用，但不能替代导师、评阅及答辩专家对学位论文质量</w:t>
      </w:r>
      <w:r w:rsidRPr="00FE35C2">
        <w:rPr>
          <w:rFonts w:ascii="宋体" w:eastAsia="宋体" w:hAnsi="宋体" w:cs="Arial" w:hint="eastAsia"/>
          <w:color w:val="333333"/>
          <w:kern w:val="0"/>
          <w:sz w:val="24"/>
          <w:szCs w:val="24"/>
        </w:rPr>
        <w:lastRenderedPageBreak/>
        <w:t>的把关。学院对重复率比例的规定仅可作为参考，核心内容如一个公式、几个数据抄袭或造假，也是重要的学术不端，不能片面理解重复率比例的规定。研究生应该潜心治学、刻苦钻研，恪守学术道德和学术规范；导师应进一步加强研究生学术规范教育。</w:t>
      </w:r>
    </w:p>
    <w:p w14:paraId="3DA3A04D" w14:textId="77777777" w:rsidR="00FE35C2" w:rsidRPr="00FE35C2" w:rsidRDefault="00FE35C2" w:rsidP="00FE35C2">
      <w:pPr>
        <w:widowControl/>
        <w:shd w:val="clear" w:color="auto" w:fill="FFFFFF"/>
        <w:spacing w:after="15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第三章 学位论文评阅</w:t>
      </w:r>
    </w:p>
    <w:p w14:paraId="49498490" w14:textId="67D8F542"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第六条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研究生学位论文评阅按学校相关文件要求执行。</w:t>
      </w:r>
    </w:p>
    <w:p w14:paraId="246F52F1" w14:textId="73DE8C8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第七条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研究生学位论文评阅双向隐名评阅比例为百分之百，每本博士学位论文五份评阅、每本硕士学位论文三份评阅均通过校学位评定委员会办公室指定的学位论文评审平台进行双向隐名评阅。</w:t>
      </w:r>
    </w:p>
    <w:p w14:paraId="5DCDBE17" w14:textId="0306B0D0"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第八条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学位论文评阅结果在符合学校相关文件要求前提下，如有1份评阅意见为“需要进行较大的修改后答辩”，学位申请者应根据评阅专家的意见对其学位论文作认真修改，</w:t>
      </w:r>
      <w:proofErr w:type="gramStart"/>
      <w:r w:rsidRPr="00FE35C2">
        <w:rPr>
          <w:rFonts w:ascii="宋体" w:eastAsia="宋体" w:hAnsi="宋体" w:cs="Arial" w:hint="eastAsia"/>
          <w:color w:val="333333"/>
          <w:kern w:val="0"/>
          <w:sz w:val="24"/>
          <w:szCs w:val="24"/>
        </w:rPr>
        <w:t>自专家</w:t>
      </w:r>
      <w:proofErr w:type="gramEnd"/>
      <w:r w:rsidRPr="00FE35C2">
        <w:rPr>
          <w:rFonts w:ascii="宋体" w:eastAsia="宋体" w:hAnsi="宋体" w:cs="Arial" w:hint="eastAsia"/>
          <w:color w:val="333333"/>
          <w:kern w:val="0"/>
          <w:sz w:val="24"/>
          <w:szCs w:val="24"/>
        </w:rPr>
        <w:t>意见反馈之日起，修改时间一般不少于30天。学位申请者修改完成后填写《浙江大学博士/硕士学位论文重新评阅申请表》，经其导师审核同意后送</w:t>
      </w:r>
      <w:proofErr w:type="gramStart"/>
      <w:r w:rsidRPr="00FE35C2">
        <w:rPr>
          <w:rFonts w:ascii="宋体" w:eastAsia="宋体" w:hAnsi="宋体" w:cs="Arial" w:hint="eastAsia"/>
          <w:color w:val="333333"/>
          <w:kern w:val="0"/>
          <w:sz w:val="24"/>
          <w:szCs w:val="24"/>
        </w:rPr>
        <w:t>原专家</w:t>
      </w:r>
      <w:proofErr w:type="gramEnd"/>
      <w:r w:rsidRPr="00FE35C2">
        <w:rPr>
          <w:rFonts w:ascii="宋体" w:eastAsia="宋体" w:hAnsi="宋体" w:cs="Arial" w:hint="eastAsia"/>
          <w:color w:val="333333"/>
          <w:kern w:val="0"/>
          <w:sz w:val="24"/>
          <w:szCs w:val="24"/>
        </w:rPr>
        <w:t>评阅复审。评阅复审通过即可进入答辩程序，否则本次学位申请程序终止。</w:t>
      </w:r>
    </w:p>
    <w:p w14:paraId="390270B1" w14:textId="19B76392"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第九条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论文评阅结果在符合学校相关文件要求前提下，学位论文评阅成绩优良率须达到送审总数的1/3。评阅成绩优良率未达标者在答辩前需根据所有评阅专家意见对论文进行修改，经导师审核同意后，向学院学科学位委员会或所在大类专业学位研究生教育指导委员会提出申请，学科学位委员会或所在大类专业学位研究生教育指导委员会</w:t>
      </w:r>
      <w:proofErr w:type="gramStart"/>
      <w:r w:rsidRPr="00FE35C2">
        <w:rPr>
          <w:rFonts w:ascii="宋体" w:eastAsia="宋体" w:hAnsi="宋体" w:cs="Arial" w:hint="eastAsia"/>
          <w:color w:val="333333"/>
          <w:kern w:val="0"/>
          <w:sz w:val="24"/>
          <w:szCs w:val="24"/>
        </w:rPr>
        <w:t>另加送</w:t>
      </w:r>
      <w:proofErr w:type="gramEnd"/>
      <w:r w:rsidRPr="00FE35C2">
        <w:rPr>
          <w:rFonts w:ascii="宋体" w:eastAsia="宋体" w:hAnsi="宋体" w:cs="Arial" w:hint="eastAsia"/>
          <w:color w:val="333333"/>
          <w:kern w:val="0"/>
          <w:sz w:val="24"/>
          <w:szCs w:val="24"/>
        </w:rPr>
        <w:t>一位同行专家对学位论文进行隐名评审，若同行专家评阅意见为“A（优秀）”或“B（良好）”，可继续答辩申请。</w:t>
      </w:r>
    </w:p>
    <w:p w14:paraId="2DAA0534" w14:textId="5BF00CEE"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lastRenderedPageBreak/>
        <w:t>第十条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申请者、研究生导师应充分尊重评阅专家对博士或硕士学位论文提出的意见。如学位申请者及其导师认为学位论文评阅未通过是因为学术观点分歧所致，可填写《浙江大学博士/硕士学位论文评阅学术观点分歧申诉表》，向学科学位评定委员会或所在大类专业学位研究生教育指导委员会提出申诉。学科学位评定委员会或所在大类专业学位研究生教育指导委员会主任在收到《浙江大学博士/硕士学位论文评阅学术观点分歧申诉表》2周内，组织3位同行专家进行审定。如审定结果确属学术观点分歧，可按照本办法另聘两位专家进行双盲隐名评阅，评阅结果“学位论文总体等级评价”不为“D（较差）”且“学位论文是否同意答辩的意见”不为“需要进行较大的修改后答辩”和“未达到研究生学位论文要求不同意答辩”者，方可进入答辩程序，否则本次学位申请程序终止。</w:t>
      </w:r>
    </w:p>
    <w:p w14:paraId="6E9659A1" w14:textId="3E9633E6"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第十一条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院将约谈2次及以上学位论文评阅送审不通过的研究生及5年内所指导研究生出现2次及以上学位论文评阅送审不通过的导师，督促帮助研究生导师和研究生找出问题并提出改进意见，对于学位论文评阅质量特别差的研究生导师，按学校和学院相关规定暂停其招生资格。</w:t>
      </w:r>
    </w:p>
    <w:p w14:paraId="18F9691B" w14:textId="77777777" w:rsidR="00FE35C2" w:rsidRPr="00FE35C2" w:rsidRDefault="00FE35C2" w:rsidP="00FE35C2">
      <w:pPr>
        <w:widowControl/>
        <w:shd w:val="clear" w:color="auto" w:fill="FFFFFF"/>
        <w:spacing w:after="15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第四章 学位论文答辩</w:t>
      </w:r>
    </w:p>
    <w:p w14:paraId="3341EEC7" w14:textId="4455ACFD"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第十二条</w:t>
      </w:r>
      <w:r>
        <w:rPr>
          <w:rFonts w:ascii="宋体" w:eastAsia="宋体" w:hAnsi="宋体" w:cs="Arial" w:hint="eastAsia"/>
          <w:b/>
          <w:bCs/>
          <w:color w:val="333333"/>
          <w:kern w:val="0"/>
          <w:sz w:val="24"/>
          <w:szCs w:val="24"/>
        </w:rPr>
        <w:t xml:space="preserve"> </w:t>
      </w:r>
      <w:r w:rsidRPr="00FE35C2">
        <w:rPr>
          <w:rFonts w:ascii="宋体" w:eastAsia="宋体" w:hAnsi="宋体" w:cs="Arial" w:hint="eastAsia"/>
          <w:color w:val="333333"/>
          <w:kern w:val="0"/>
          <w:sz w:val="24"/>
          <w:szCs w:val="24"/>
        </w:rPr>
        <w:t>研究生学位论文</w:t>
      </w:r>
      <w:proofErr w:type="gramStart"/>
      <w:r w:rsidRPr="00FE35C2">
        <w:rPr>
          <w:rFonts w:ascii="宋体" w:eastAsia="宋体" w:hAnsi="宋体" w:cs="Arial" w:hint="eastAsia"/>
          <w:color w:val="333333"/>
          <w:kern w:val="0"/>
          <w:sz w:val="24"/>
          <w:szCs w:val="24"/>
        </w:rPr>
        <w:t>答辩按</w:t>
      </w:r>
      <w:proofErr w:type="gramEnd"/>
      <w:r w:rsidRPr="00FE35C2">
        <w:rPr>
          <w:rFonts w:ascii="宋体" w:eastAsia="宋体" w:hAnsi="宋体" w:cs="Arial" w:hint="eastAsia"/>
          <w:color w:val="333333"/>
          <w:kern w:val="0"/>
          <w:sz w:val="24"/>
          <w:szCs w:val="24"/>
        </w:rPr>
        <w:t>学校相关文件要求执行。</w:t>
      </w:r>
    </w:p>
    <w:p w14:paraId="03720417" w14:textId="30F50F3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第十三条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各研究所（中心）统一组织研究生学位论文答辩工作。有以下情况的研究生论文答辩工作，由学院面向全院所有此类情况研究生统一组织：</w:t>
      </w:r>
    </w:p>
    <w:p w14:paraId="481397E2"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（一）学位论文经专家评阅复审通过的研究生；</w:t>
      </w:r>
    </w:p>
    <w:p w14:paraId="32B6956A"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（二）学位论文经过学术观点分歧申述通过的研究生；</w:t>
      </w:r>
    </w:p>
    <w:p w14:paraId="218ED4F5"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（三）学位论文评阅优良率未达送审总数的1/3并加</w:t>
      </w:r>
      <w:proofErr w:type="gramStart"/>
      <w:r w:rsidRPr="00FE35C2">
        <w:rPr>
          <w:rFonts w:ascii="宋体" w:eastAsia="宋体" w:hAnsi="宋体" w:cs="Arial" w:hint="eastAsia"/>
          <w:color w:val="333333"/>
          <w:kern w:val="0"/>
          <w:sz w:val="24"/>
          <w:szCs w:val="24"/>
        </w:rPr>
        <w:t>送盲审</w:t>
      </w:r>
      <w:proofErr w:type="gramEnd"/>
      <w:r w:rsidRPr="00FE35C2">
        <w:rPr>
          <w:rFonts w:ascii="宋体" w:eastAsia="宋体" w:hAnsi="宋体" w:cs="Arial" w:hint="eastAsia"/>
          <w:color w:val="333333"/>
          <w:kern w:val="0"/>
          <w:sz w:val="24"/>
          <w:szCs w:val="24"/>
        </w:rPr>
        <w:t>通过的研究生；</w:t>
      </w:r>
    </w:p>
    <w:p w14:paraId="7F8C7F7C" w14:textId="62B0C3D3"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lastRenderedPageBreak/>
        <w:t>（四）超过基本修业年限2年及以上的博士研究生；</w:t>
      </w:r>
    </w:p>
    <w:p w14:paraId="4C03B900" w14:textId="0F6CB43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（五）超过基本修业年限1</w:t>
      </w:r>
      <w:bookmarkStart w:id="0" w:name="_GoBack"/>
      <w:bookmarkEnd w:id="0"/>
      <w:r w:rsidRPr="00FE35C2">
        <w:rPr>
          <w:rFonts w:ascii="宋体" w:eastAsia="宋体" w:hAnsi="宋体" w:cs="Arial" w:hint="eastAsia"/>
          <w:color w:val="333333"/>
          <w:kern w:val="0"/>
          <w:sz w:val="24"/>
          <w:szCs w:val="24"/>
        </w:rPr>
        <w:t>年及以上的硕士研究生。</w:t>
      </w:r>
    </w:p>
    <w:p w14:paraId="45DCFFB4" w14:textId="3EFBC25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第十四条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在规定修业年限内的研究生，用于申请学位的创新成果未达到所在学科或所在大类申请学位的要求，但其学位论文水平已达到研究生毕业的要求，经本人申请、导师推荐、学科学位评定委员会或所在大类专业学位研究生教育指导委员会主任审核同意，可申请进行学位论文答辩。学位论文经过答辩并通过者，可以向学院申请毕业并参加就业，但不能申请学位。</w:t>
      </w:r>
    </w:p>
    <w:p w14:paraId="4A4A79E7" w14:textId="77777777" w:rsidR="00FE35C2" w:rsidRPr="00FE35C2" w:rsidRDefault="00FE35C2" w:rsidP="00FE35C2">
      <w:pPr>
        <w:widowControl/>
        <w:shd w:val="clear" w:color="auto" w:fill="FFFFFF"/>
        <w:spacing w:after="15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第五章 提前答辩申请</w:t>
      </w:r>
    </w:p>
    <w:p w14:paraId="263360C5" w14:textId="55FDC86F"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第十五条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研究生申请学位论文提前</w:t>
      </w:r>
      <w:proofErr w:type="gramStart"/>
      <w:r w:rsidRPr="00FE35C2">
        <w:rPr>
          <w:rFonts w:ascii="宋体" w:eastAsia="宋体" w:hAnsi="宋体" w:cs="Arial" w:hint="eastAsia"/>
          <w:color w:val="333333"/>
          <w:kern w:val="0"/>
          <w:sz w:val="24"/>
          <w:szCs w:val="24"/>
        </w:rPr>
        <w:t>答辩按</w:t>
      </w:r>
      <w:proofErr w:type="gramEnd"/>
      <w:r w:rsidRPr="00FE35C2">
        <w:rPr>
          <w:rFonts w:ascii="宋体" w:eastAsia="宋体" w:hAnsi="宋体" w:cs="Arial" w:hint="eastAsia"/>
          <w:color w:val="333333"/>
          <w:kern w:val="0"/>
          <w:sz w:val="24"/>
          <w:szCs w:val="24"/>
        </w:rPr>
        <w:t>学校相关文件要求执行。</w:t>
      </w:r>
    </w:p>
    <w:p w14:paraId="1C1434D8" w14:textId="7C546DF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第十六条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研究生申请提前进行学位论文答辩的条件：</w:t>
      </w:r>
    </w:p>
    <w:p w14:paraId="4E3BFCB0"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（一）课程学习成绩要求：申请人的研究生课程有80%以上成绩优良，其中学位课成绩必须在70分以上。</w:t>
      </w:r>
    </w:p>
    <w:p w14:paraId="6E59CAF2"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（二）在攻读学位期间应取得显著的科研成果，并符合如下条件之一：</w:t>
      </w:r>
    </w:p>
    <w:p w14:paraId="05CB8C0C"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1．获得署名在前五位的国家级科研成果一、二等奖或署名在前两位的省部级科研成果一、二等奖。</w:t>
      </w:r>
    </w:p>
    <w:p w14:paraId="6CC84BA6"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2．获得学位论文相关的创新成果不低于研究生申请学位创新成果标准的2倍。</w:t>
      </w:r>
    </w:p>
    <w:p w14:paraId="5B0B0E59"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3.获得学位论文相关的创新成果符合研究生申请学位创新成果标准，且获得署名在前七位的国家级科研成果一、二、三等奖或署名在前五位的省部级科研成果一、二等奖。</w:t>
      </w:r>
    </w:p>
    <w:p w14:paraId="52324DAA" w14:textId="4B8ACCE6"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第十七条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研究生申请提前答辩，应由其导师和一位具有博士研究生导师资格的教师或具有正高职称的专家推荐。推荐人填写《浙江大学研究生提前进</w:t>
      </w:r>
      <w:r w:rsidRPr="00FE35C2">
        <w:rPr>
          <w:rFonts w:ascii="宋体" w:eastAsia="宋体" w:hAnsi="宋体" w:cs="Arial" w:hint="eastAsia"/>
          <w:color w:val="333333"/>
          <w:kern w:val="0"/>
          <w:sz w:val="24"/>
          <w:szCs w:val="24"/>
        </w:rPr>
        <w:lastRenderedPageBreak/>
        <w:t>行学位论文答辩专家推荐书》，申明申请人的学位论文研究重要性和课题研究确实取得创造性成果等推荐理由。</w:t>
      </w:r>
    </w:p>
    <w:p w14:paraId="6EDA4AB9" w14:textId="2BC7B0A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第十八条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研究生申请提前答辩，应在预期答辩前3个月提出申请，填写《浙江大学研究生提前答辩申请表》，连同两位专家的推荐书和学位论文（博士，一式5份；硕士，一式3份）提交学院。</w:t>
      </w:r>
    </w:p>
    <w:p w14:paraId="47717E7D" w14:textId="43878D91"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第十九条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院对申请材料进行初审。初审通过后，学科学位评定委员会或所在大类专业学位研究生教育指导委员会选聘3位及以上专家组成专家小组（申请人导师不参加专家小组）对申请材料进行审核，提出是否达到提前答辩要求的意见。学院将符合提前答辩要求的申请</w:t>
      </w:r>
      <w:proofErr w:type="gramStart"/>
      <w:r w:rsidRPr="00FE35C2">
        <w:rPr>
          <w:rFonts w:ascii="宋体" w:eastAsia="宋体" w:hAnsi="宋体" w:cs="Arial" w:hint="eastAsia"/>
          <w:color w:val="333333"/>
          <w:kern w:val="0"/>
          <w:sz w:val="24"/>
          <w:szCs w:val="24"/>
        </w:rPr>
        <w:t>材料报校学位</w:t>
      </w:r>
      <w:proofErr w:type="gramEnd"/>
      <w:r w:rsidRPr="00FE35C2">
        <w:rPr>
          <w:rFonts w:ascii="宋体" w:eastAsia="宋体" w:hAnsi="宋体" w:cs="Arial" w:hint="eastAsia"/>
          <w:color w:val="333333"/>
          <w:kern w:val="0"/>
          <w:sz w:val="24"/>
          <w:szCs w:val="24"/>
        </w:rPr>
        <w:t>评定委员会办公室审批，经校学位评定委员会办公室批准后按学校相关文件要求和学院过程管理相关规定执行评阅送审。</w:t>
      </w:r>
    </w:p>
    <w:p w14:paraId="680E4ECF" w14:textId="77777777" w:rsidR="00FE35C2" w:rsidRPr="00FE35C2" w:rsidRDefault="00FE35C2" w:rsidP="00FE35C2">
      <w:pPr>
        <w:widowControl/>
        <w:shd w:val="clear" w:color="auto" w:fill="FFFFFF"/>
        <w:spacing w:after="15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第六章 附 则</w:t>
      </w:r>
    </w:p>
    <w:p w14:paraId="07F24D65" w14:textId="7EC5148D"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第二十条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本实施细则自2022年1月开始执行，由学院教育教学办公室负责解释。</w:t>
      </w:r>
    </w:p>
    <w:p w14:paraId="758FC845" w14:textId="7C9CB6E2"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第二十一条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其他未尽事宜，详见学校相关文件。</w:t>
      </w:r>
    </w:p>
    <w:p w14:paraId="28030231" w14:textId="77777777" w:rsidR="00FE35C2" w:rsidRPr="00FE35C2" w:rsidRDefault="00FE35C2" w:rsidP="00FE35C2">
      <w:pPr>
        <w:widowControl/>
        <w:shd w:val="clear" w:color="auto" w:fill="FFFFFF"/>
        <w:spacing w:after="150" w:line="555" w:lineRule="atLeast"/>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 </w:t>
      </w:r>
    </w:p>
    <w:p w14:paraId="1677E6D9" w14:textId="77777777" w:rsidR="00FE35C2" w:rsidRPr="00FE35C2" w:rsidRDefault="00FE35C2" w:rsidP="00FE35C2">
      <w:pPr>
        <w:widowControl/>
        <w:shd w:val="clear" w:color="auto" w:fill="FFFFFF"/>
        <w:spacing w:after="150" w:line="555" w:lineRule="atLeast"/>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 </w:t>
      </w:r>
    </w:p>
    <w:p w14:paraId="10DFCC88" w14:textId="77777777" w:rsidR="00FE35C2" w:rsidRPr="00FE35C2" w:rsidRDefault="00FE35C2" w:rsidP="00FE35C2">
      <w:pPr>
        <w:widowControl/>
        <w:shd w:val="clear" w:color="auto" w:fill="FFFFFF"/>
        <w:spacing w:after="150" w:line="555" w:lineRule="atLeast"/>
        <w:jc w:val="right"/>
        <w:rPr>
          <w:rFonts w:ascii="Arial" w:eastAsia="宋体" w:hAnsi="Arial" w:cs="Arial"/>
          <w:color w:val="333333"/>
          <w:kern w:val="0"/>
          <w:szCs w:val="21"/>
        </w:rPr>
      </w:pPr>
      <w:r w:rsidRPr="00FE35C2">
        <w:rPr>
          <w:rFonts w:ascii="宋体" w:eastAsia="宋体" w:hAnsi="宋体" w:cs="Arial" w:hint="eastAsia"/>
          <w:color w:val="333333"/>
          <w:kern w:val="0"/>
          <w:sz w:val="24"/>
          <w:szCs w:val="24"/>
        </w:rPr>
        <w:t>浙江大学建筑工程学院</w:t>
      </w:r>
    </w:p>
    <w:p w14:paraId="74B62BA2" w14:textId="77777777" w:rsidR="00FE35C2" w:rsidRPr="00FE35C2" w:rsidRDefault="00FE35C2" w:rsidP="00FE35C2">
      <w:pPr>
        <w:widowControl/>
        <w:shd w:val="clear" w:color="auto" w:fill="FFFFFF"/>
        <w:spacing w:after="150" w:line="555" w:lineRule="atLeast"/>
        <w:jc w:val="right"/>
        <w:rPr>
          <w:rFonts w:ascii="Arial" w:eastAsia="宋体" w:hAnsi="Arial" w:cs="Arial"/>
          <w:color w:val="333333"/>
          <w:kern w:val="0"/>
          <w:szCs w:val="21"/>
        </w:rPr>
      </w:pPr>
      <w:r w:rsidRPr="00FE35C2">
        <w:rPr>
          <w:rFonts w:ascii="宋体" w:eastAsia="宋体" w:hAnsi="宋体" w:cs="Arial" w:hint="eastAsia"/>
          <w:color w:val="333333"/>
          <w:kern w:val="0"/>
          <w:sz w:val="24"/>
          <w:szCs w:val="24"/>
        </w:rPr>
        <w:t>2021年12月</w:t>
      </w:r>
    </w:p>
    <w:p w14:paraId="6FDF4AA4" w14:textId="77777777" w:rsidR="004D26DF" w:rsidRPr="00FE35C2" w:rsidRDefault="004D26DF"/>
    <w:sectPr w:rsidR="004D26DF" w:rsidRPr="00FE3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4D"/>
    <w:rsid w:val="003E6F4D"/>
    <w:rsid w:val="004C02AD"/>
    <w:rsid w:val="004D26DF"/>
    <w:rsid w:val="00B94BEC"/>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E8D4"/>
  <w15:chartTrackingRefBased/>
  <w15:docId w15:val="{F70B2725-C3B6-4C61-B447-99B61762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E35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5C2"/>
    <w:rPr>
      <w:rFonts w:ascii="宋体" w:eastAsia="宋体" w:hAnsi="宋体" w:cs="宋体"/>
      <w:b/>
      <w:bCs/>
      <w:kern w:val="36"/>
      <w:sz w:val="48"/>
      <w:szCs w:val="48"/>
    </w:rPr>
  </w:style>
  <w:style w:type="paragraph" w:customStyle="1" w:styleId="artimetas">
    <w:name w:val="arti_metas"/>
    <w:basedOn w:val="a"/>
    <w:rsid w:val="00FE35C2"/>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FE35C2"/>
  </w:style>
  <w:style w:type="character" w:customStyle="1" w:styleId="artiupdate">
    <w:name w:val="arti_update"/>
    <w:basedOn w:val="a0"/>
    <w:rsid w:val="00FE35C2"/>
  </w:style>
  <w:style w:type="character" w:customStyle="1" w:styleId="artiviews">
    <w:name w:val="arti_views"/>
    <w:basedOn w:val="a0"/>
    <w:rsid w:val="00FE35C2"/>
  </w:style>
  <w:style w:type="character" w:customStyle="1" w:styleId="wpvisitcount">
    <w:name w:val="wp_visitcount"/>
    <w:basedOn w:val="a0"/>
    <w:rsid w:val="00FE35C2"/>
  </w:style>
  <w:style w:type="character" w:styleId="a3">
    <w:name w:val="Strong"/>
    <w:basedOn w:val="a0"/>
    <w:uiPriority w:val="22"/>
    <w:qFormat/>
    <w:rsid w:val="00FE35C2"/>
    <w:rPr>
      <w:b/>
      <w:bCs/>
    </w:rPr>
  </w:style>
  <w:style w:type="paragraph" w:styleId="a4">
    <w:name w:val="Title"/>
    <w:basedOn w:val="a"/>
    <w:link w:val="a5"/>
    <w:uiPriority w:val="10"/>
    <w:qFormat/>
    <w:rsid w:val="00FE35C2"/>
    <w:pPr>
      <w:widowControl/>
      <w:spacing w:before="100" w:beforeAutospacing="1" w:after="100" w:afterAutospacing="1"/>
      <w:jc w:val="left"/>
    </w:pPr>
    <w:rPr>
      <w:rFonts w:ascii="宋体" w:eastAsia="宋体" w:hAnsi="宋体" w:cs="宋体"/>
      <w:kern w:val="0"/>
      <w:sz w:val="24"/>
      <w:szCs w:val="24"/>
    </w:rPr>
  </w:style>
  <w:style w:type="character" w:customStyle="1" w:styleId="a5">
    <w:name w:val="标题 字符"/>
    <w:basedOn w:val="a0"/>
    <w:link w:val="a4"/>
    <w:uiPriority w:val="10"/>
    <w:rsid w:val="00FE35C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112392">
      <w:bodyDiv w:val="1"/>
      <w:marLeft w:val="0"/>
      <w:marRight w:val="0"/>
      <w:marTop w:val="0"/>
      <w:marBottom w:val="0"/>
      <w:divBdr>
        <w:top w:val="none" w:sz="0" w:space="0" w:color="auto"/>
        <w:left w:val="none" w:sz="0" w:space="0" w:color="auto"/>
        <w:bottom w:val="none" w:sz="0" w:space="0" w:color="auto"/>
        <w:right w:val="none" w:sz="0" w:space="0" w:color="auto"/>
      </w:divBdr>
      <w:divsChild>
        <w:div w:id="345209547">
          <w:marLeft w:val="0"/>
          <w:marRight w:val="0"/>
          <w:marTop w:val="150"/>
          <w:marBottom w:val="0"/>
          <w:divBdr>
            <w:top w:val="none" w:sz="0" w:space="0" w:color="auto"/>
            <w:left w:val="none" w:sz="0" w:space="0" w:color="auto"/>
            <w:bottom w:val="none" w:sz="0" w:space="0" w:color="auto"/>
            <w:right w:val="none" w:sz="0" w:space="0" w:color="auto"/>
          </w:divBdr>
          <w:divsChild>
            <w:div w:id="513695010">
              <w:marLeft w:val="0"/>
              <w:marRight w:val="0"/>
              <w:marTop w:val="0"/>
              <w:marBottom w:val="0"/>
              <w:divBdr>
                <w:top w:val="none" w:sz="0" w:space="0" w:color="auto"/>
                <w:left w:val="none" w:sz="0" w:space="0" w:color="auto"/>
                <w:bottom w:val="none" w:sz="0" w:space="0" w:color="auto"/>
                <w:right w:val="none" w:sz="0" w:space="0" w:color="auto"/>
              </w:divBdr>
              <w:divsChild>
                <w:div w:id="18621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2022-05-09T03:15:00Z</dcterms:created>
  <dcterms:modified xsi:type="dcterms:W3CDTF">2022-05-09T03:26:00Z</dcterms:modified>
</cp:coreProperties>
</file>