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54" w:rsidRPr="003D3854" w:rsidRDefault="003D3854" w:rsidP="003D3854">
      <w:pPr>
        <w:widowControl/>
        <w:spacing w:line="480" w:lineRule="auto"/>
        <w:ind w:firstLine="562"/>
        <w:jc w:val="center"/>
        <w:rPr>
          <w:rFonts w:ascii="仿宋_GB2312" w:eastAsia="仿宋_GB2312" w:hAnsi="Times New Roman" w:cs="Times New Roman"/>
          <w:color w:val="333333"/>
          <w:kern w:val="0"/>
          <w:sz w:val="18"/>
          <w:szCs w:val="18"/>
        </w:rPr>
      </w:pPr>
      <w:bookmarkStart w:id="0" w:name="_GoBack"/>
      <w:r w:rsidRPr="003D3854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8"/>
          <w:szCs w:val="28"/>
        </w:rPr>
        <w:t>浙江大学获奖作品</w:t>
      </w:r>
      <w:r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8"/>
          <w:szCs w:val="28"/>
        </w:rPr>
        <w:t>名单及</w:t>
      </w:r>
      <w:r w:rsidRPr="003D3854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8"/>
          <w:szCs w:val="28"/>
        </w:rPr>
        <w:t>简介</w:t>
      </w:r>
    </w:p>
    <w:bookmarkEnd w:id="0"/>
    <w:p w:rsidR="003D3854" w:rsidRPr="003D3854" w:rsidRDefault="003D3854" w:rsidP="003D3854">
      <w:pPr>
        <w:widowControl/>
        <w:spacing w:line="480" w:lineRule="auto"/>
        <w:ind w:firstLine="562"/>
        <w:jc w:val="left"/>
        <w:rPr>
          <w:rFonts w:ascii="仿宋_GB2312" w:eastAsia="仿宋_GB2312" w:hAnsi="Times New Roman" w:cs="Times New Roman" w:hint="eastAsia"/>
          <w:color w:val="333333"/>
          <w:kern w:val="0"/>
          <w:sz w:val="18"/>
          <w:szCs w:val="18"/>
        </w:rPr>
      </w:pPr>
      <w:r w:rsidRPr="003D3854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8"/>
          <w:szCs w:val="28"/>
        </w:rPr>
        <w:t>特等奖：</w:t>
      </w:r>
    </w:p>
    <w:p w:rsidR="003D3854" w:rsidRPr="003D3854" w:rsidRDefault="003D3854" w:rsidP="003D3854">
      <w:pPr>
        <w:widowControl/>
        <w:spacing w:line="480" w:lineRule="auto"/>
        <w:ind w:firstLine="562"/>
        <w:jc w:val="left"/>
        <w:rPr>
          <w:rFonts w:ascii="仿宋_GB2312" w:eastAsia="仿宋_GB2312" w:hAnsi="Times New Roman" w:cs="Times New Roman" w:hint="eastAsia"/>
          <w:color w:val="333333"/>
          <w:kern w:val="0"/>
          <w:sz w:val="18"/>
          <w:szCs w:val="18"/>
        </w:rPr>
      </w:pPr>
      <w:r w:rsidRPr="003D3854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8"/>
          <w:szCs w:val="28"/>
        </w:rPr>
        <w:t>《管道医生——智能泄漏检测定位球》</w:t>
      </w:r>
    </w:p>
    <w:p w:rsidR="003D3854" w:rsidRPr="003D3854" w:rsidRDefault="003D3854" w:rsidP="003D3854">
      <w:pPr>
        <w:widowControl/>
        <w:spacing w:line="480" w:lineRule="auto"/>
        <w:ind w:firstLine="560"/>
        <w:jc w:val="left"/>
        <w:rPr>
          <w:rFonts w:ascii="仿宋_GB2312" w:eastAsia="仿宋_GB2312" w:hAnsi="Times New Roman" w:cs="Times New Roman" w:hint="eastAsia"/>
          <w:color w:val="333333"/>
          <w:kern w:val="0"/>
          <w:sz w:val="18"/>
          <w:szCs w:val="18"/>
        </w:rPr>
      </w:pP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该项目研发了一种智能泄漏检测定位球，可对城市地下供水管网漏损点精准检测与定位，并对管线布局进行三维地图构建。提出了多传感器融合的管内泄漏检测方法；</w:t>
      </w:r>
      <w:proofErr w:type="gramStart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采用惯导和</w:t>
      </w:r>
      <w:proofErr w:type="gramEnd"/>
      <w:r w:rsidRPr="003D3854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RFID</w:t>
      </w: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组合定位方式，进一步提高泄漏点定位的精确度；结合数据库技术和三维技术，直观显示地下管线的空间层次和位置，以仿真方式形象展现地下管线的埋深、形状及走向。系统具有灵敏度高、定位准确、安全便捷等优势，有助于提高城市管网管理水平。受理国家发明专利</w:t>
      </w:r>
      <w:r w:rsidRPr="003D3854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2</w:t>
      </w: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项、实用新型专利</w:t>
      </w:r>
      <w:r w:rsidRPr="003D3854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1</w:t>
      </w: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项，授权软件著作权</w:t>
      </w:r>
      <w:r w:rsidRPr="003D3854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4</w:t>
      </w: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项，曾获得第</w:t>
      </w:r>
      <w:r w:rsidRPr="003D3854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45</w:t>
      </w: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届日内瓦国际发明展最高荣誉：特别嘉许金奖。</w:t>
      </w:r>
    </w:p>
    <w:p w:rsidR="003D3854" w:rsidRPr="003D3854" w:rsidRDefault="003D3854" w:rsidP="003D3854">
      <w:pPr>
        <w:widowControl/>
        <w:spacing w:line="480" w:lineRule="auto"/>
        <w:ind w:firstLine="560"/>
        <w:jc w:val="left"/>
        <w:rPr>
          <w:rFonts w:ascii="仿宋_GB2312" w:eastAsia="仿宋_GB2312" w:hAnsi="Times New Roman" w:cs="Times New Roman" w:hint="eastAsia"/>
          <w:color w:val="333333"/>
          <w:kern w:val="0"/>
          <w:sz w:val="18"/>
          <w:szCs w:val="18"/>
        </w:rPr>
      </w:pP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18"/>
          <w:szCs w:val="18"/>
        </w:rPr>
        <w:t> </w:t>
      </w:r>
    </w:p>
    <w:p w:rsidR="003D3854" w:rsidRPr="003D3854" w:rsidRDefault="003D3854" w:rsidP="003D3854">
      <w:pPr>
        <w:widowControl/>
        <w:spacing w:line="480" w:lineRule="auto"/>
        <w:ind w:firstLine="562"/>
        <w:jc w:val="left"/>
        <w:rPr>
          <w:rFonts w:ascii="仿宋_GB2312" w:eastAsia="仿宋_GB2312" w:hAnsi="Times New Roman" w:cs="Times New Roman" w:hint="eastAsia"/>
          <w:color w:val="333333"/>
          <w:kern w:val="0"/>
          <w:sz w:val="18"/>
          <w:szCs w:val="18"/>
        </w:rPr>
      </w:pPr>
      <w:r w:rsidRPr="003D3854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8"/>
          <w:szCs w:val="28"/>
        </w:rPr>
        <w:t>一等奖:</w:t>
      </w:r>
    </w:p>
    <w:p w:rsidR="003D3854" w:rsidRPr="003D3854" w:rsidRDefault="003D3854" w:rsidP="003D3854">
      <w:pPr>
        <w:widowControl/>
        <w:spacing w:line="480" w:lineRule="auto"/>
        <w:ind w:firstLine="562"/>
        <w:jc w:val="left"/>
        <w:rPr>
          <w:rFonts w:ascii="仿宋_GB2312" w:eastAsia="仿宋_GB2312" w:hAnsi="Times New Roman" w:cs="Times New Roman" w:hint="eastAsia"/>
          <w:color w:val="333333"/>
          <w:kern w:val="0"/>
          <w:sz w:val="18"/>
          <w:szCs w:val="18"/>
        </w:rPr>
      </w:pPr>
      <w:r w:rsidRPr="003D3854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8"/>
          <w:szCs w:val="28"/>
        </w:rPr>
        <w:t>《基于相位调控的新型光束传输特性的理论研究与实验验证》</w:t>
      </w:r>
    </w:p>
    <w:p w:rsidR="003D3854" w:rsidRPr="003D3854" w:rsidRDefault="003D3854" w:rsidP="003D3854">
      <w:pPr>
        <w:widowControl/>
        <w:spacing w:line="480" w:lineRule="auto"/>
        <w:ind w:firstLine="560"/>
        <w:jc w:val="left"/>
        <w:rPr>
          <w:rFonts w:ascii="仿宋_GB2312" w:eastAsia="仿宋_GB2312" w:hAnsi="Times New Roman" w:cs="Times New Roman" w:hint="eastAsia"/>
          <w:color w:val="333333"/>
          <w:kern w:val="0"/>
          <w:sz w:val="18"/>
          <w:szCs w:val="18"/>
        </w:rPr>
      </w:pP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该项目提出了三种新型光束，并且提出来了级数解法来求解</w:t>
      </w:r>
      <w:proofErr w:type="gramStart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复杂光场的</w:t>
      </w:r>
      <w:proofErr w:type="gramEnd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问题。一是在理论上结合了波动光学中的菲涅耳衍射的基本原理，通过计算机程序模拟以及实验验证，证明了通过求和级数来</w:t>
      </w:r>
      <w:proofErr w:type="gramStart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表达光场分布</w:t>
      </w:r>
      <w:proofErr w:type="gramEnd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的方法是可行的；二是给出了一种新颖的模拟光束传输变换的方法，而这种算法将可以</w:t>
      </w:r>
      <w:proofErr w:type="gramStart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提高光场分布</w:t>
      </w:r>
      <w:proofErr w:type="gramEnd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的计算准确度。研究成果以</w:t>
      </w:r>
      <w:r w:rsidRPr="003D3854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4</w:t>
      </w: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篇</w:t>
      </w:r>
      <w:r w:rsidRPr="003D3854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SCI</w:t>
      </w: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论文的形式发表在国际著名期刊上。</w:t>
      </w:r>
    </w:p>
    <w:p w:rsidR="003D3854" w:rsidRPr="003D3854" w:rsidRDefault="003D3854" w:rsidP="003D3854">
      <w:pPr>
        <w:widowControl/>
        <w:spacing w:line="480" w:lineRule="auto"/>
        <w:ind w:firstLine="560"/>
        <w:jc w:val="left"/>
        <w:rPr>
          <w:rFonts w:ascii="仿宋_GB2312" w:eastAsia="仿宋_GB2312" w:hAnsi="Times New Roman" w:cs="Times New Roman" w:hint="eastAsia"/>
          <w:color w:val="333333"/>
          <w:kern w:val="0"/>
          <w:sz w:val="18"/>
          <w:szCs w:val="18"/>
        </w:rPr>
      </w:pP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18"/>
          <w:szCs w:val="18"/>
        </w:rPr>
        <w:t> </w:t>
      </w:r>
    </w:p>
    <w:p w:rsidR="003D3854" w:rsidRPr="003D3854" w:rsidRDefault="003D3854" w:rsidP="003D3854">
      <w:pPr>
        <w:widowControl/>
        <w:spacing w:line="480" w:lineRule="auto"/>
        <w:ind w:firstLine="562"/>
        <w:jc w:val="left"/>
        <w:rPr>
          <w:rFonts w:ascii="仿宋_GB2312" w:eastAsia="仿宋_GB2312" w:hAnsi="Times New Roman" w:cs="Times New Roman" w:hint="eastAsia"/>
          <w:color w:val="333333"/>
          <w:kern w:val="0"/>
          <w:sz w:val="18"/>
          <w:szCs w:val="18"/>
        </w:rPr>
      </w:pPr>
      <w:r w:rsidRPr="003D3854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8"/>
          <w:szCs w:val="28"/>
        </w:rPr>
        <w:lastRenderedPageBreak/>
        <w:t>《关于下一代高能量密度、大功率锂二次电池电极材料的研究》</w:t>
      </w:r>
    </w:p>
    <w:p w:rsidR="003D3854" w:rsidRPr="003D3854" w:rsidRDefault="003D3854" w:rsidP="003D3854">
      <w:pPr>
        <w:widowControl/>
        <w:spacing w:line="480" w:lineRule="auto"/>
        <w:ind w:firstLine="560"/>
        <w:jc w:val="left"/>
        <w:rPr>
          <w:rFonts w:ascii="仿宋_GB2312" w:eastAsia="仿宋_GB2312" w:hAnsi="Times New Roman" w:cs="Times New Roman" w:hint="eastAsia"/>
          <w:color w:val="333333"/>
          <w:kern w:val="0"/>
          <w:sz w:val="18"/>
          <w:szCs w:val="18"/>
        </w:rPr>
      </w:pP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该作品致力于利用纳米技术解决</w:t>
      </w:r>
      <w:proofErr w:type="gramStart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锂</w:t>
      </w:r>
      <w:proofErr w:type="gramEnd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二次电池领域相关技术难题，提升</w:t>
      </w:r>
      <w:proofErr w:type="gramStart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锂</w:t>
      </w:r>
      <w:proofErr w:type="gramEnd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二次电池能量密度以及安全性能。通过制备复杂结构的金属氧化物纳米纤维，解决高能量密度</w:t>
      </w:r>
      <w:proofErr w:type="gramStart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锂</w:t>
      </w:r>
      <w:proofErr w:type="gramEnd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离子电池负极体积膨胀的问题；利用纳米聚合物缓冲层与人工固态电解质界面膜，增加电池循环寿命与安全性能；通过构筑三维纳米结构氯化物-碳纳米纤维复合载体，大幅度</w:t>
      </w:r>
      <w:proofErr w:type="gramStart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提升锂硫电池</w:t>
      </w:r>
      <w:proofErr w:type="gramEnd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容量与循环寿命。研究成果以第一作者在能源化工领域权威期刊（</w:t>
      </w:r>
      <w:r w:rsidRPr="003D3854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Adv. Sci; J. Mater. Chem. A; Ind. Eng. Chem. Res</w:t>
      </w: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）正式发表</w:t>
      </w:r>
      <w:r w:rsidRPr="003D3854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SCI</w:t>
      </w: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论文</w:t>
      </w:r>
      <w:r w:rsidRPr="003D3854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3</w:t>
      </w: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篇（</w:t>
      </w:r>
      <w:r w:rsidRPr="003D3854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IF&gt;20</w:t>
      </w: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），小修</w:t>
      </w:r>
      <w:r w:rsidRPr="003D3854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1</w:t>
      </w: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篇（</w:t>
      </w:r>
      <w:r w:rsidRPr="003D3854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Adv. Energy Mater., IF=16.721</w:t>
      </w: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），在审</w:t>
      </w:r>
      <w:r w:rsidRPr="003D3854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1</w:t>
      </w: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篇，申请专利</w:t>
      </w:r>
      <w:r w:rsidRPr="003D3854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3</w:t>
      </w: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项。</w:t>
      </w: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18"/>
          <w:szCs w:val="18"/>
        </w:rPr>
        <w:t> </w:t>
      </w:r>
    </w:p>
    <w:p w:rsidR="003D3854" w:rsidRPr="003D3854" w:rsidRDefault="003D3854" w:rsidP="003D3854">
      <w:pPr>
        <w:widowControl/>
        <w:spacing w:line="480" w:lineRule="auto"/>
        <w:ind w:firstLine="560"/>
        <w:jc w:val="left"/>
        <w:rPr>
          <w:rFonts w:ascii="仿宋_GB2312" w:eastAsia="仿宋_GB2312" w:hAnsi="Times New Roman" w:cs="Times New Roman" w:hint="eastAsia"/>
          <w:color w:val="333333"/>
          <w:kern w:val="0"/>
          <w:sz w:val="18"/>
          <w:szCs w:val="18"/>
        </w:rPr>
      </w:pP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18"/>
          <w:szCs w:val="18"/>
        </w:rPr>
        <w:t> </w:t>
      </w:r>
    </w:p>
    <w:p w:rsidR="003D3854" w:rsidRPr="003D3854" w:rsidRDefault="003D3854" w:rsidP="003D3854">
      <w:pPr>
        <w:widowControl/>
        <w:spacing w:line="480" w:lineRule="auto"/>
        <w:ind w:firstLine="562"/>
        <w:jc w:val="left"/>
        <w:rPr>
          <w:rFonts w:ascii="仿宋_GB2312" w:eastAsia="仿宋_GB2312" w:hAnsi="Times New Roman" w:cs="Times New Roman" w:hint="eastAsia"/>
          <w:color w:val="333333"/>
          <w:kern w:val="0"/>
          <w:sz w:val="18"/>
          <w:szCs w:val="18"/>
        </w:rPr>
      </w:pPr>
      <w:r w:rsidRPr="003D3854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8"/>
          <w:szCs w:val="28"/>
        </w:rPr>
        <w:t>《农村学校布局调整：效率与公平的权衡——基于安徽省四个县的实地调研》</w:t>
      </w:r>
    </w:p>
    <w:p w:rsidR="00C42529" w:rsidRPr="003D3854" w:rsidRDefault="003D3854" w:rsidP="003D3854">
      <w:pPr>
        <w:widowControl/>
        <w:spacing w:line="480" w:lineRule="auto"/>
        <w:ind w:firstLine="560"/>
        <w:jc w:val="left"/>
        <w:rPr>
          <w:rFonts w:ascii="仿宋_GB2312" w:eastAsia="仿宋_GB2312" w:hAnsi="Times New Roman" w:cs="Times New Roman"/>
          <w:color w:val="333333"/>
          <w:kern w:val="0"/>
          <w:sz w:val="18"/>
          <w:szCs w:val="18"/>
        </w:rPr>
      </w:pPr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该作品以安徽省四个</w:t>
      </w:r>
      <w:proofErr w:type="gramStart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县大量</w:t>
      </w:r>
      <w:proofErr w:type="gramEnd"/>
      <w:r w:rsidRPr="003D3854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的事实案例为论证基础，客观评价在实施农村学校布局调整时取得的积极成效、特色路径和存在问题。通过建立博弈模型，从定性和定量双重视角出发分析博弈方的行为逻辑和策略选择。结合地方基础教育办学特征，设计了一套理想化撤并标准，以提供布局调整规范、促进当地基础教育均衡发展。</w:t>
      </w:r>
    </w:p>
    <w:sectPr w:rsidR="00C42529" w:rsidRPr="003D3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54"/>
    <w:rsid w:val="003D3854"/>
    <w:rsid w:val="00C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10E0"/>
  <w15:chartTrackingRefBased/>
  <w15:docId w15:val="{E8B0DEC8-8F22-4973-859D-9540CCB6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2018-10-10T06:03:00Z</dcterms:created>
  <dcterms:modified xsi:type="dcterms:W3CDTF">2018-10-10T06:11:00Z</dcterms:modified>
</cp:coreProperties>
</file>